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BEA" w:rsidRPr="009A58E7" w:rsidRDefault="00355F3E" w:rsidP="002861E4">
      <w:pPr>
        <w:rPr>
          <w:rFonts w:ascii="Arial Narrow" w:hAnsi="Arial Narrow"/>
          <w:noProof/>
          <w:color w:val="484E41"/>
        </w:rPr>
      </w:pPr>
      <w:r>
        <w:rPr>
          <w:noProof/>
          <w:color w:val="484E41"/>
          <w:lang w:val="en-AU" w:eastAsia="en-AU" w:bidi="ar-SA"/>
        </w:rPr>
        <w:drawing>
          <wp:anchor distT="0" distB="0" distL="114300" distR="114300" simplePos="0" relativeHeight="251657728" behindDoc="1" locked="0" layoutInCell="1" allowOverlap="1">
            <wp:simplePos x="0" y="0"/>
            <wp:positionH relativeFrom="column">
              <wp:posOffset>-954405</wp:posOffset>
            </wp:positionH>
            <wp:positionV relativeFrom="paragraph">
              <wp:posOffset>-1156970</wp:posOffset>
            </wp:positionV>
            <wp:extent cx="7594600" cy="10751820"/>
            <wp:effectExtent l="19050" t="0" r="6350" b="0"/>
            <wp:wrapNone/>
            <wp:docPr id="4" name="Picture 9" descr="NO099_Submission 01B front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099_Submission 01B front v2"/>
                    <pic:cNvPicPr>
                      <a:picLocks noChangeAspect="1" noChangeArrowheads="1"/>
                    </pic:cNvPicPr>
                  </pic:nvPicPr>
                  <pic:blipFill>
                    <a:blip r:embed="rId11" cstate="print"/>
                    <a:srcRect/>
                    <a:stretch>
                      <a:fillRect/>
                    </a:stretch>
                  </pic:blipFill>
                  <pic:spPr bwMode="auto">
                    <a:xfrm>
                      <a:off x="0" y="0"/>
                      <a:ext cx="7594600" cy="10751820"/>
                    </a:xfrm>
                    <a:prstGeom prst="rect">
                      <a:avLst/>
                    </a:prstGeom>
                    <a:noFill/>
                    <a:ln w="9525">
                      <a:noFill/>
                      <a:miter lim="800000"/>
                      <a:headEnd/>
                      <a:tailEnd/>
                    </a:ln>
                  </pic:spPr>
                </pic:pic>
              </a:graphicData>
            </a:graphic>
          </wp:anchor>
        </w:drawing>
      </w:r>
    </w:p>
    <w:p w:rsidR="00D72BEA" w:rsidRPr="009A58E7" w:rsidRDefault="00D72BEA" w:rsidP="002861E4">
      <w:pPr>
        <w:rPr>
          <w:rFonts w:ascii="Arial Narrow" w:hAnsi="Arial Narrow"/>
          <w:color w:val="484E41"/>
        </w:rPr>
      </w:pPr>
    </w:p>
    <w:p w:rsidR="00D72BEA" w:rsidRPr="009A58E7" w:rsidRDefault="00863955" w:rsidP="002861E4">
      <w:pPr>
        <w:rPr>
          <w:rFonts w:ascii="Arial Narrow" w:hAnsi="Arial Narrow"/>
          <w:color w:val="484E41"/>
        </w:rPr>
        <w:sectPr w:rsidR="00D72BEA" w:rsidRPr="009A58E7" w:rsidSect="00D72BEA">
          <w:pgSz w:w="11899" w:h="16838"/>
          <w:pgMar w:top="1733" w:right="1440" w:bottom="2845" w:left="1440" w:header="1440" w:footer="2552" w:gutter="0"/>
          <w:cols w:space="720"/>
          <w:docGrid w:linePitch="360"/>
        </w:sectPr>
      </w:pPr>
      <w:r w:rsidRPr="00863955">
        <w:rPr>
          <w:noProof/>
          <w:color w:val="484E41"/>
          <w:lang w:val="en-AU" w:eastAsia="en-AU" w:bidi="ar-SA"/>
        </w:rPr>
        <w:pict>
          <v:shapetype id="_x0000_t202" coordsize="21600,21600" o:spt="202" path="m,l,21600r21600,l21600,xe">
            <v:stroke joinstyle="miter"/>
            <v:path gradientshapeok="t" o:connecttype="rect"/>
          </v:shapetype>
          <v:shape id="Text Box 2" o:spid="_x0000_s1026" type="#_x0000_t202" style="position:absolute;margin-left:46.5pt;margin-top:478.3pt;width:436.8pt;height:108.7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heiwIAAB0FAAAOAAAAZHJzL2Uyb0RvYy54bWysVG1v2yAQ/j5p/wHxPbWdOmls1amadJkm&#10;dS9Sux9AMI7RMDAgsbtp/30HxGmzadI0zR/wAcfDc3fPcX0zdAIdmLFcyQpnFylGTFJVc7mr8OfH&#10;zWSBkXVE1kQoySr8xCy+Wb5+dd3rkk1Vq0TNDAIQacteV7h1TpdJYmnLOmIvlGYSNhtlOuJganZJ&#10;bUgP6J1Ipmk6T3plam0UZdbC6l3cxMuA3zSMuo9NY5lDosLAzYXRhHHrx2R5TcqdIbrl9EiD/AOL&#10;jnAJl56g7ogjaG/4b1Adp0ZZ1bgLqrpENQ2nLMQA0WTpL9E8tESzEAskx+pTmuz/g6UfDp8M4nWF&#10;LzGSpIMSPbLBoZUa0NRnp9e2BKcHDW5ugGWocojU6ntFv1gk1bolcsdujVF9y0gN7DJ/MnlxNOJY&#10;D7Lt36sariF7pwLQ0JjOpw6SgQAdqvR0qoynQmFxNsuvLuewRWEvu1xk2XQW7iDleFwb694y1SFv&#10;VNhA6QM8Odxb5+mQcnTxt1kleL3hQoSJ2W3XwqADAZlswhfPCt2SuBqkAhg2uga8MwwhPZJUHjNe&#10;F1cgBCDg93wwQRPfi2yap6tpMdnMF1eTfJPPJsVVupikWbEq5mle5HebH55Blpctr2sm77lkoz6z&#10;/O/qf+yUqKygUNRXuJhB6kLQf8xAGr5jfs+C7LiDdhW8q/Di5ERKX/Y3soawSekIF9FOzumHlEEO&#10;xn/IShCJ10VUiBu2A6B45WxV/QRyMQqKCYWHNwaMVplvGPXQrxW2X/fEMIzEOwmS8809GmY0tqNB&#10;JIWjFXYYRXPt4iOw14bvWkCOopbqFmTZ8CCYZxZA2U+gBwP543vhm/zlPHg9v2rLnwAAAP//AwBQ&#10;SwMEFAAGAAgAAAAhAELxYM7fAAAACwEAAA8AAABkcnMvZG93bnJldi54bWxMj0FPwzAMhe9I+w+R&#10;J3FjaTfo1tJ0giG4ThSkXbPGa6s2TtVkW/n3eCc42dZ7ev5evp1sLy44+taRgngRgUCqnGmpVvD9&#10;9f6wAeGDJqN7R6jgBz1si9ldrjPjrvSJlzLUgkPIZ1pBE8KQSemrBq32CzcgsXZyo9WBz7GWZtRX&#10;Dre9XEZRIq1uiT80esBdg1VXnq2C1X65PviP8m03HDDtNv61O1Gj1P18enkGEXAKf2a44TM6FMx0&#10;dGcyXvQK0hVXCTyfkgQEG9LkthzZGa8fY5BFLv93KH4BAAD//wMAUEsBAi0AFAAGAAgAAAAhALaD&#10;OJL+AAAA4QEAABMAAAAAAAAAAAAAAAAAAAAAAFtDb250ZW50X1R5cGVzXS54bWxQSwECLQAUAAYA&#10;CAAAACEAOP0h/9YAAACUAQAACwAAAAAAAAAAAAAAAAAvAQAAX3JlbHMvLnJlbHNQSwECLQAUAAYA&#10;CAAAACEACXJYXosCAAAdBQAADgAAAAAAAAAAAAAAAAAuAgAAZHJzL2Uyb0RvYy54bWxQSwECLQAU&#10;AAYACAAAACEAQvFgzt8AAAALAQAADwAAAAAAAAAAAAAAAADlBAAAZHJzL2Rvd25yZXYueG1sUEsF&#10;BgAAAAAEAAQA8wAAAPEFAAAAAA==&#10;" stroked="f">
            <v:fill opacity="0"/>
            <v:textbox inset="0,0,0,0">
              <w:txbxContent>
                <w:p w:rsidR="00FC29E7" w:rsidRPr="00064398" w:rsidRDefault="00FC29E7" w:rsidP="00D72BEA">
                  <w:pPr>
                    <w:jc w:val="right"/>
                    <w:rPr>
                      <w:rFonts w:ascii="Arial" w:hAnsi="Arial"/>
                      <w:color w:val="484E41"/>
                    </w:rPr>
                  </w:pPr>
                  <w:r w:rsidRPr="00064398">
                    <w:rPr>
                      <w:rFonts w:ascii="Arial" w:hAnsi="Arial"/>
                      <w:color w:val="484E41"/>
                    </w:rPr>
                    <w:t>The Institute of Public Accountants</w:t>
                  </w:r>
                </w:p>
                <w:p w:rsidR="00FC29E7" w:rsidRPr="00C67223" w:rsidRDefault="00FC29E7" w:rsidP="00D72BEA">
                  <w:pPr>
                    <w:jc w:val="right"/>
                  </w:pPr>
                </w:p>
                <w:p w:rsidR="00FC29E7" w:rsidRPr="003B0AAF" w:rsidRDefault="00FC29E7" w:rsidP="00D72BEA">
                  <w:pPr>
                    <w:pStyle w:val="header14ptorangebold"/>
                    <w:jc w:val="right"/>
                    <w:rPr>
                      <w:b/>
                      <w:spacing w:val="-20"/>
                      <w:sz w:val="40"/>
                    </w:rPr>
                  </w:pPr>
                  <w:r>
                    <w:rPr>
                      <w:b/>
                      <w:spacing w:val="-20"/>
                      <w:sz w:val="40"/>
                    </w:rPr>
                    <w:t>Review of retirement income stream regulation</w:t>
                  </w:r>
                </w:p>
                <w:p w:rsidR="00FC29E7" w:rsidRDefault="00FC29E7" w:rsidP="00D72BEA">
                  <w:pPr>
                    <w:jc w:val="right"/>
                    <w:rPr>
                      <w:rFonts w:ascii="Arial Bold" w:hAnsi="Arial Bold"/>
                    </w:rPr>
                  </w:pPr>
                </w:p>
                <w:p w:rsidR="00FC29E7" w:rsidRPr="00064398" w:rsidRDefault="00D46E6B" w:rsidP="00D72BEA">
                  <w:pPr>
                    <w:jc w:val="right"/>
                    <w:rPr>
                      <w:rFonts w:ascii="Arial Bold" w:hAnsi="Arial Bold"/>
                      <w:color w:val="484E41"/>
                    </w:rPr>
                  </w:pPr>
                  <w:r>
                    <w:rPr>
                      <w:rFonts w:ascii="Arial Bold" w:hAnsi="Arial Bold"/>
                      <w:color w:val="484E41"/>
                    </w:rPr>
                    <w:t xml:space="preserve">5 </w:t>
                  </w:r>
                  <w:r w:rsidR="00FC29E7">
                    <w:rPr>
                      <w:rFonts w:ascii="Arial Bold" w:hAnsi="Arial Bold"/>
                      <w:color w:val="484E41"/>
                    </w:rPr>
                    <w:t xml:space="preserve">September </w:t>
                  </w:r>
                  <w:r w:rsidR="00FC29E7" w:rsidRPr="00064398">
                    <w:rPr>
                      <w:rFonts w:ascii="Arial Bold" w:hAnsi="Arial Bold"/>
                      <w:color w:val="484E41"/>
                    </w:rPr>
                    <w:t>201</w:t>
                  </w:r>
                  <w:r w:rsidR="00FC29E7">
                    <w:rPr>
                      <w:rFonts w:ascii="Arial Bold" w:hAnsi="Arial Bold"/>
                      <w:color w:val="484E41"/>
                    </w:rPr>
                    <w:t>4</w:t>
                  </w:r>
                  <w:r w:rsidR="00FC29E7" w:rsidRPr="00064398">
                    <w:rPr>
                      <w:rFonts w:ascii="Arial Bold" w:hAnsi="Arial Bold"/>
                      <w:color w:val="484E41"/>
                    </w:rPr>
                    <w:t xml:space="preserve"> </w:t>
                  </w:r>
                </w:p>
              </w:txbxContent>
            </v:textbox>
          </v:shape>
        </w:pict>
      </w:r>
      <w:r w:rsidR="00BC010B">
        <w:rPr>
          <w:noProof/>
          <w:color w:val="484E41"/>
          <w:lang w:val="en-AU" w:eastAsia="en-AU" w:bidi="ar-SA"/>
        </w:rPr>
        <w:drawing>
          <wp:anchor distT="0" distB="0" distL="114300" distR="114300" simplePos="0" relativeHeight="251658752" behindDoc="0" locked="0" layoutInCell="1" allowOverlap="1">
            <wp:simplePos x="0" y="0"/>
            <wp:positionH relativeFrom="column">
              <wp:posOffset>3101340</wp:posOffset>
            </wp:positionH>
            <wp:positionV relativeFrom="page">
              <wp:posOffset>9113520</wp:posOffset>
            </wp:positionV>
            <wp:extent cx="3110865" cy="869950"/>
            <wp:effectExtent l="0" t="0" r="0" b="6350"/>
            <wp:wrapTight wrapText="bothSides">
              <wp:wrapPolygon edited="0">
                <wp:start x="0" y="0"/>
                <wp:lineTo x="0" y="21285"/>
                <wp:lineTo x="21428" y="21285"/>
                <wp:lineTo x="21428" y="0"/>
                <wp:lineTo x="0" y="0"/>
              </wp:wrapPolygon>
            </wp:wrapTight>
            <wp:docPr id="5" name="Picture 10" descr="NO023_IPACrestfull_wTAG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023_IPACrestfull_wTAG_PMS"/>
                    <pic:cNvPicPr>
                      <a:picLocks noChangeAspect="1" noChangeArrowheads="1"/>
                    </pic:cNvPicPr>
                  </pic:nvPicPr>
                  <pic:blipFill>
                    <a:blip r:embed="rId12" cstate="print"/>
                    <a:srcRect/>
                    <a:stretch>
                      <a:fillRect/>
                    </a:stretch>
                  </pic:blipFill>
                  <pic:spPr bwMode="auto">
                    <a:xfrm>
                      <a:off x="0" y="0"/>
                      <a:ext cx="3110865" cy="869950"/>
                    </a:xfrm>
                    <a:prstGeom prst="rect">
                      <a:avLst/>
                    </a:prstGeom>
                    <a:noFill/>
                    <a:ln w="9525">
                      <a:noFill/>
                      <a:miter lim="800000"/>
                      <a:headEnd/>
                      <a:tailEnd/>
                    </a:ln>
                  </pic:spPr>
                </pic:pic>
              </a:graphicData>
            </a:graphic>
          </wp:anchor>
        </w:drawing>
      </w:r>
    </w:p>
    <w:p w:rsidR="00D46E6B" w:rsidRDefault="00D46E6B">
      <w:pPr>
        <w:suppressAutoHyphens w:val="0"/>
        <w:rPr>
          <w:rFonts w:ascii="Arial" w:hAnsi="Arial" w:cs="Arial"/>
          <w:b/>
          <w:bCs/>
          <w:color w:val="E06C08"/>
          <w:sz w:val="28"/>
          <w:szCs w:val="28"/>
          <w:lang w:val="en-GB" w:bidi="ar-SA"/>
        </w:rPr>
      </w:pPr>
      <w:bookmarkStart w:id="0" w:name="_Toc314836482"/>
      <w:bookmarkStart w:id="1" w:name="_Toc314836662"/>
      <w:r>
        <w:lastRenderedPageBreak/>
        <w:br w:type="page"/>
      </w:r>
    </w:p>
    <w:p w:rsidR="0072041C" w:rsidRPr="003A6123" w:rsidRDefault="0072041C" w:rsidP="003363A4">
      <w:pPr>
        <w:pStyle w:val="IPAHeading"/>
        <w:ind w:left="0" w:firstLine="0"/>
      </w:pPr>
      <w:bookmarkStart w:id="2" w:name="_Toc397555049"/>
      <w:r w:rsidRPr="003A6123">
        <w:lastRenderedPageBreak/>
        <w:t>Introduction</w:t>
      </w:r>
      <w:bookmarkEnd w:id="0"/>
      <w:bookmarkEnd w:id="1"/>
      <w:bookmarkEnd w:id="2"/>
    </w:p>
    <w:p w:rsidR="00F87307" w:rsidRDefault="00F87307" w:rsidP="002861E4">
      <w:pPr>
        <w:suppressAutoHyphens w:val="0"/>
        <w:rPr>
          <w:rFonts w:ascii="Arial" w:hAnsi="Arial"/>
          <w:color w:val="696969"/>
          <w:sz w:val="20"/>
        </w:rPr>
      </w:pPr>
    </w:p>
    <w:p w:rsidR="00F87307" w:rsidRDefault="00F87307" w:rsidP="002861E4">
      <w:pPr>
        <w:suppressAutoHyphens w:val="0"/>
        <w:rPr>
          <w:rFonts w:ascii="Arial" w:hAnsi="Arial"/>
          <w:color w:val="696969"/>
          <w:sz w:val="20"/>
        </w:rPr>
      </w:pPr>
      <w:r>
        <w:rPr>
          <w:rFonts w:ascii="Arial" w:hAnsi="Arial"/>
          <w:color w:val="696969"/>
          <w:sz w:val="20"/>
        </w:rPr>
        <w:t>Benefits and Regulation Unit</w:t>
      </w:r>
      <w:r w:rsidR="00D46E6B">
        <w:rPr>
          <w:rFonts w:ascii="Arial" w:hAnsi="Arial"/>
          <w:color w:val="696969"/>
          <w:sz w:val="20"/>
        </w:rPr>
        <w:t xml:space="preserve"> - </w:t>
      </w:r>
      <w:r>
        <w:rPr>
          <w:rFonts w:ascii="Arial" w:hAnsi="Arial"/>
          <w:color w:val="696969"/>
          <w:sz w:val="20"/>
        </w:rPr>
        <w:t>Personal and Retirement Income Division</w:t>
      </w:r>
    </w:p>
    <w:p w:rsidR="00F87307" w:rsidRDefault="00F87307" w:rsidP="002861E4">
      <w:pPr>
        <w:suppressAutoHyphens w:val="0"/>
        <w:rPr>
          <w:rFonts w:ascii="Arial" w:hAnsi="Arial"/>
          <w:color w:val="696969"/>
          <w:sz w:val="20"/>
        </w:rPr>
      </w:pPr>
      <w:r>
        <w:rPr>
          <w:rFonts w:ascii="Arial" w:hAnsi="Arial"/>
          <w:color w:val="696969"/>
          <w:sz w:val="20"/>
        </w:rPr>
        <w:t>The Treasury</w:t>
      </w:r>
    </w:p>
    <w:p w:rsidR="00F87307" w:rsidRDefault="00F87307" w:rsidP="002861E4">
      <w:pPr>
        <w:suppressAutoHyphens w:val="0"/>
        <w:rPr>
          <w:rFonts w:ascii="Arial" w:hAnsi="Arial"/>
          <w:color w:val="696969"/>
          <w:sz w:val="20"/>
        </w:rPr>
      </w:pPr>
      <w:r>
        <w:rPr>
          <w:rFonts w:ascii="Arial" w:hAnsi="Arial"/>
          <w:color w:val="696969"/>
          <w:sz w:val="20"/>
        </w:rPr>
        <w:t>Langton Crescent</w:t>
      </w:r>
    </w:p>
    <w:p w:rsidR="00F87307" w:rsidRDefault="00F87307" w:rsidP="002861E4">
      <w:pPr>
        <w:suppressAutoHyphens w:val="0"/>
        <w:rPr>
          <w:rFonts w:ascii="Arial" w:hAnsi="Arial"/>
          <w:b/>
          <w:color w:val="696969"/>
          <w:sz w:val="20"/>
        </w:rPr>
      </w:pPr>
      <w:r>
        <w:rPr>
          <w:rFonts w:ascii="Arial" w:hAnsi="Arial"/>
          <w:b/>
          <w:color w:val="696969"/>
          <w:sz w:val="20"/>
        </w:rPr>
        <w:t>PARKES   ACT   2600</w:t>
      </w:r>
    </w:p>
    <w:p w:rsidR="00F87307" w:rsidRDefault="00F87307" w:rsidP="002861E4">
      <w:pPr>
        <w:suppressAutoHyphens w:val="0"/>
        <w:rPr>
          <w:rFonts w:ascii="Arial" w:hAnsi="Arial"/>
          <w:b/>
          <w:color w:val="696969"/>
          <w:sz w:val="20"/>
        </w:rPr>
      </w:pPr>
    </w:p>
    <w:p w:rsidR="00F87307" w:rsidRDefault="00F87307" w:rsidP="002861E4">
      <w:pPr>
        <w:suppressAutoHyphens w:val="0"/>
        <w:rPr>
          <w:rFonts w:ascii="Arial" w:hAnsi="Arial"/>
          <w:b/>
          <w:color w:val="696969"/>
          <w:sz w:val="20"/>
        </w:rPr>
      </w:pPr>
      <w:r>
        <w:rPr>
          <w:rFonts w:ascii="Arial" w:hAnsi="Arial"/>
          <w:b/>
          <w:color w:val="696969"/>
          <w:sz w:val="20"/>
        </w:rPr>
        <w:t xml:space="preserve">Email: </w:t>
      </w:r>
      <w:hyperlink r:id="rId13" w:history="1">
        <w:r w:rsidRPr="00E76C39">
          <w:rPr>
            <w:rStyle w:val="Hyperlink"/>
            <w:rFonts w:ascii="Arial" w:hAnsi="Arial" w:cs="Arial"/>
            <w:color w:val="696969"/>
            <w:sz w:val="20"/>
            <w:szCs w:val="22"/>
          </w:rPr>
          <w:t>superannuation@treasury.gov.au</w:t>
        </w:r>
      </w:hyperlink>
    </w:p>
    <w:p w:rsidR="00F87307" w:rsidRDefault="00F87307" w:rsidP="002861E4">
      <w:pPr>
        <w:suppressAutoHyphens w:val="0"/>
        <w:rPr>
          <w:rFonts w:ascii="Arial" w:hAnsi="Arial"/>
          <w:color w:val="696969"/>
          <w:sz w:val="20"/>
        </w:rPr>
      </w:pPr>
    </w:p>
    <w:p w:rsidR="0072041C" w:rsidRPr="00D150FB" w:rsidRDefault="0072041C" w:rsidP="003363A4">
      <w:pPr>
        <w:suppressAutoHyphens w:val="0"/>
        <w:jc w:val="both"/>
        <w:rPr>
          <w:rFonts w:ascii="Arial" w:hAnsi="Arial" w:cs="Arial"/>
          <w:color w:val="696969"/>
          <w:sz w:val="20"/>
          <w:szCs w:val="20"/>
          <w:lang w:val="en-AU"/>
        </w:rPr>
      </w:pPr>
      <w:r w:rsidRPr="00D150FB">
        <w:rPr>
          <w:rFonts w:ascii="Arial" w:hAnsi="Arial"/>
          <w:color w:val="696969"/>
          <w:sz w:val="20"/>
        </w:rPr>
        <w:t xml:space="preserve">The Institute of Public Accountants (the Institute) welcomes the opportunity to </w:t>
      </w:r>
      <w:r w:rsidR="000C1B73">
        <w:rPr>
          <w:rFonts w:ascii="Arial" w:hAnsi="Arial"/>
          <w:color w:val="696969"/>
          <w:sz w:val="20"/>
        </w:rPr>
        <w:t xml:space="preserve">provide input </w:t>
      </w:r>
      <w:r w:rsidR="003363A4">
        <w:rPr>
          <w:rFonts w:ascii="Arial" w:hAnsi="Arial"/>
          <w:color w:val="696969"/>
          <w:sz w:val="20"/>
        </w:rPr>
        <w:t>in</w:t>
      </w:r>
      <w:r w:rsidR="000C1B73">
        <w:rPr>
          <w:rFonts w:ascii="Arial" w:hAnsi="Arial"/>
          <w:color w:val="696969"/>
          <w:sz w:val="20"/>
        </w:rPr>
        <w:t xml:space="preserve">to the Treasury’s review of the retirement income stream regulation </w:t>
      </w:r>
      <w:r w:rsidRPr="00D150FB">
        <w:rPr>
          <w:rFonts w:ascii="Arial" w:hAnsi="Arial"/>
          <w:color w:val="696969"/>
          <w:sz w:val="20"/>
        </w:rPr>
        <w:t xml:space="preserve">and looks forward to working with the Government as it </w:t>
      </w:r>
      <w:r w:rsidR="000C1B73">
        <w:rPr>
          <w:rFonts w:ascii="Arial" w:hAnsi="Arial"/>
          <w:color w:val="696969"/>
          <w:sz w:val="20"/>
        </w:rPr>
        <w:t>establishes a</w:t>
      </w:r>
      <w:r w:rsidR="003363A4">
        <w:rPr>
          <w:rFonts w:ascii="Arial" w:hAnsi="Arial"/>
          <w:color w:val="696969"/>
          <w:sz w:val="20"/>
        </w:rPr>
        <w:t>n appropriate</w:t>
      </w:r>
      <w:r w:rsidR="000C1B73">
        <w:rPr>
          <w:rFonts w:ascii="Arial" w:hAnsi="Arial"/>
          <w:color w:val="696969"/>
          <w:sz w:val="20"/>
        </w:rPr>
        <w:t xml:space="preserve"> retirement income system</w:t>
      </w:r>
      <w:r w:rsidR="00FB118E">
        <w:rPr>
          <w:rFonts w:ascii="Arial" w:hAnsi="Arial"/>
          <w:color w:val="696969"/>
          <w:sz w:val="20"/>
        </w:rPr>
        <w:t xml:space="preserve"> for Australia in the near future</w:t>
      </w:r>
      <w:r w:rsidRPr="00D150FB">
        <w:rPr>
          <w:rFonts w:ascii="Arial" w:hAnsi="Arial"/>
          <w:color w:val="696969"/>
          <w:sz w:val="20"/>
        </w:rPr>
        <w:t>.</w:t>
      </w:r>
      <w:r w:rsidRPr="00D150FB">
        <w:rPr>
          <w:rFonts w:ascii="Arial" w:hAnsi="Arial" w:cs="Arial"/>
          <w:color w:val="696969"/>
          <w:sz w:val="20"/>
          <w:szCs w:val="20"/>
          <w:lang w:val="en-AU"/>
        </w:rPr>
        <w:t xml:space="preserve"> </w:t>
      </w:r>
    </w:p>
    <w:p w:rsidR="0072041C" w:rsidRPr="00D150FB" w:rsidRDefault="0072041C" w:rsidP="003363A4">
      <w:pPr>
        <w:pStyle w:val="BodytextArial10pt"/>
        <w:spacing w:before="0" w:after="0"/>
        <w:jc w:val="both"/>
        <w:rPr>
          <w:color w:val="696969"/>
        </w:rPr>
      </w:pPr>
    </w:p>
    <w:p w:rsidR="00D46E6B" w:rsidRDefault="00D46E6B" w:rsidP="00D46E6B">
      <w:pPr>
        <w:suppressAutoHyphens w:val="0"/>
        <w:jc w:val="both"/>
        <w:rPr>
          <w:rFonts w:ascii="Arial" w:hAnsi="Arial" w:cs="Arial"/>
          <w:color w:val="696969"/>
          <w:sz w:val="20"/>
          <w:szCs w:val="20"/>
          <w:lang w:val="en-AU"/>
        </w:rPr>
      </w:pPr>
      <w:r>
        <w:rPr>
          <w:rFonts w:ascii="Arial" w:hAnsi="Arial" w:cs="Arial"/>
          <w:color w:val="696969"/>
          <w:sz w:val="20"/>
          <w:szCs w:val="20"/>
          <w:lang w:val="en-AU"/>
        </w:rPr>
        <w:t>There is universal support that Australia has one of the best superannuation systems in the world primarily due to its mandated employer contributions and self-managed superannuation funds.  However, as acknowledged in the Cooper Review, t</w:t>
      </w:r>
      <w:r w:rsidRPr="0067475E">
        <w:rPr>
          <w:rFonts w:ascii="Arial" w:hAnsi="Arial" w:cs="Arial"/>
          <w:color w:val="696969"/>
          <w:sz w:val="20"/>
          <w:szCs w:val="20"/>
          <w:lang w:val="en-AU"/>
        </w:rPr>
        <w:t xml:space="preserve">he primary purpose of any superannuation system is not the accumulation of funds but </w:t>
      </w:r>
      <w:r>
        <w:rPr>
          <w:rFonts w:ascii="Arial" w:hAnsi="Arial" w:cs="Arial"/>
          <w:color w:val="696969"/>
          <w:sz w:val="20"/>
          <w:szCs w:val="20"/>
          <w:lang w:val="en-AU"/>
        </w:rPr>
        <w:t xml:space="preserve">rather </w:t>
      </w:r>
      <w:r w:rsidRPr="0067475E">
        <w:rPr>
          <w:rFonts w:ascii="Arial" w:hAnsi="Arial" w:cs="Arial"/>
          <w:color w:val="696969"/>
          <w:sz w:val="20"/>
          <w:szCs w:val="20"/>
          <w:lang w:val="en-AU"/>
        </w:rPr>
        <w:t>the provision</w:t>
      </w:r>
      <w:r>
        <w:rPr>
          <w:rFonts w:ascii="Arial" w:hAnsi="Arial" w:cs="Arial"/>
          <w:color w:val="696969"/>
          <w:sz w:val="20"/>
          <w:szCs w:val="20"/>
          <w:lang w:val="en-AU"/>
        </w:rPr>
        <w:t xml:space="preserve"> of retirement incomes and long-</w:t>
      </w:r>
      <w:r w:rsidRPr="0067475E">
        <w:rPr>
          <w:rFonts w:ascii="Arial" w:hAnsi="Arial" w:cs="Arial"/>
          <w:color w:val="696969"/>
          <w:sz w:val="20"/>
          <w:szCs w:val="20"/>
          <w:lang w:val="en-AU"/>
        </w:rPr>
        <w:t>term reduced retiree reliance on government financial support.</w:t>
      </w:r>
    </w:p>
    <w:p w:rsidR="00D46E6B" w:rsidRPr="0067475E" w:rsidRDefault="00D46E6B" w:rsidP="00D46E6B">
      <w:pPr>
        <w:jc w:val="both"/>
        <w:rPr>
          <w:rFonts w:ascii="Arial" w:hAnsi="Arial" w:cs="Arial"/>
          <w:color w:val="696969"/>
          <w:sz w:val="20"/>
          <w:szCs w:val="20"/>
          <w:lang w:val="en-AU"/>
        </w:rPr>
      </w:pPr>
    </w:p>
    <w:p w:rsidR="00D46E6B" w:rsidRDefault="00D46E6B" w:rsidP="00D46E6B">
      <w:pPr>
        <w:jc w:val="both"/>
        <w:rPr>
          <w:rFonts w:ascii="Arial" w:hAnsi="Arial" w:cs="Arial"/>
          <w:color w:val="696969"/>
          <w:sz w:val="20"/>
          <w:szCs w:val="20"/>
          <w:lang w:val="en-AU"/>
        </w:rPr>
      </w:pPr>
      <w:r>
        <w:rPr>
          <w:rFonts w:ascii="Arial" w:hAnsi="Arial" w:cs="Arial"/>
          <w:color w:val="696969"/>
          <w:sz w:val="20"/>
          <w:szCs w:val="20"/>
          <w:lang w:val="en-AU"/>
        </w:rPr>
        <w:t xml:space="preserve">We applaud Treasury for initiating the debate, through </w:t>
      </w:r>
      <w:r w:rsidR="004E64A1">
        <w:rPr>
          <w:rFonts w:ascii="Arial" w:hAnsi="Arial" w:cs="Arial"/>
          <w:color w:val="696969"/>
          <w:sz w:val="20"/>
          <w:szCs w:val="20"/>
          <w:lang w:val="en-AU"/>
        </w:rPr>
        <w:t xml:space="preserve">the release of </w:t>
      </w:r>
      <w:r>
        <w:rPr>
          <w:rFonts w:ascii="Arial" w:hAnsi="Arial" w:cs="Arial"/>
          <w:color w:val="696969"/>
          <w:sz w:val="20"/>
          <w:szCs w:val="20"/>
          <w:lang w:val="en-AU"/>
        </w:rPr>
        <w:t xml:space="preserve">its Discussion Paper, on developing policies </w:t>
      </w:r>
      <w:r w:rsidRPr="0067475E">
        <w:rPr>
          <w:rFonts w:ascii="Arial" w:hAnsi="Arial" w:cs="Arial"/>
          <w:color w:val="696969"/>
          <w:sz w:val="20"/>
          <w:szCs w:val="20"/>
          <w:lang w:val="en-AU"/>
        </w:rPr>
        <w:t>which will ensure that when retirement is reached; monies have been wisely invested to ensure that adequate funds are available to at the very least defer demands on the public purse.</w:t>
      </w:r>
      <w:r>
        <w:rPr>
          <w:rFonts w:ascii="Arial" w:hAnsi="Arial" w:cs="Arial"/>
          <w:color w:val="696969"/>
          <w:sz w:val="20"/>
          <w:szCs w:val="20"/>
          <w:lang w:val="en-AU"/>
        </w:rPr>
        <w:t xml:space="preserve">  </w:t>
      </w:r>
    </w:p>
    <w:p w:rsidR="00D46E6B" w:rsidRDefault="00D46E6B" w:rsidP="00D46E6B">
      <w:pPr>
        <w:jc w:val="both"/>
        <w:rPr>
          <w:rFonts w:ascii="Arial" w:hAnsi="Arial" w:cs="Arial"/>
          <w:color w:val="696969"/>
          <w:sz w:val="20"/>
          <w:szCs w:val="20"/>
          <w:lang w:val="en-AU"/>
        </w:rPr>
      </w:pPr>
    </w:p>
    <w:p w:rsidR="0015354C" w:rsidRPr="0015354C" w:rsidRDefault="0015354C" w:rsidP="003363A4">
      <w:pPr>
        <w:pStyle w:val="BodytextArial10pt"/>
        <w:spacing w:before="0" w:after="0"/>
        <w:jc w:val="both"/>
        <w:rPr>
          <w:color w:val="696969"/>
          <w:lang w:val="en-AU"/>
        </w:rPr>
      </w:pPr>
      <w:r w:rsidRPr="0015354C">
        <w:rPr>
          <w:color w:val="696969"/>
          <w:lang w:val="en-AU"/>
        </w:rPr>
        <w:t>The Institute is one of the three professional accounting bodies in Australia, representing over 26,000 accountants, business advisers, academics and students throughout Australia and in 57 countries worldwide. The Institute prides itself in not only representing the interests of accountants but small business</w:t>
      </w:r>
      <w:r w:rsidR="00FB118E">
        <w:rPr>
          <w:color w:val="696969"/>
          <w:lang w:val="en-AU"/>
        </w:rPr>
        <w:t>, its owners, employees</w:t>
      </w:r>
      <w:r w:rsidRPr="0015354C">
        <w:rPr>
          <w:color w:val="696969"/>
          <w:lang w:val="en-AU"/>
        </w:rPr>
        <w:t xml:space="preserve"> and their advisers.</w:t>
      </w:r>
    </w:p>
    <w:p w:rsidR="0015354C" w:rsidRPr="0015354C" w:rsidRDefault="0015354C" w:rsidP="003363A4">
      <w:pPr>
        <w:pStyle w:val="BodytextArial10pt"/>
        <w:spacing w:before="0" w:after="0"/>
        <w:jc w:val="both"/>
        <w:rPr>
          <w:color w:val="696969"/>
          <w:lang w:val="en-AU"/>
        </w:rPr>
      </w:pPr>
    </w:p>
    <w:p w:rsidR="0015354C" w:rsidRPr="0015354C" w:rsidRDefault="0015354C" w:rsidP="003363A4">
      <w:pPr>
        <w:jc w:val="both"/>
        <w:rPr>
          <w:rFonts w:ascii="Arial" w:hAnsi="Arial" w:cs="Arial"/>
          <w:color w:val="696969"/>
          <w:sz w:val="20"/>
          <w:szCs w:val="22"/>
          <w:lang w:val="en-AU"/>
        </w:rPr>
      </w:pPr>
      <w:r w:rsidRPr="0015354C">
        <w:rPr>
          <w:rFonts w:ascii="Arial" w:hAnsi="Arial" w:cs="Arial"/>
          <w:color w:val="696969"/>
          <w:sz w:val="20"/>
          <w:szCs w:val="22"/>
          <w:lang w:val="en-AU"/>
        </w:rPr>
        <w:t xml:space="preserve">The Institute takes an active role in the promotion of policies to assist the small business and SME sectors, reflecting the fact that two-thirds of our members work in these sectors or are trusted advisers to small business and SMEs.  </w:t>
      </w:r>
    </w:p>
    <w:p w:rsidR="0072041C" w:rsidRPr="00D150FB" w:rsidRDefault="0072041C" w:rsidP="003363A4">
      <w:pPr>
        <w:jc w:val="both"/>
        <w:rPr>
          <w:rFonts w:ascii="Arial" w:hAnsi="Arial" w:cs="Arial"/>
          <w:color w:val="696969"/>
          <w:sz w:val="20"/>
          <w:szCs w:val="22"/>
        </w:rPr>
      </w:pPr>
    </w:p>
    <w:p w:rsidR="00FB118E" w:rsidRPr="0067475E" w:rsidRDefault="00D46E6B" w:rsidP="003363A4">
      <w:pPr>
        <w:jc w:val="both"/>
        <w:rPr>
          <w:rFonts w:ascii="Arial" w:hAnsi="Arial" w:cs="Arial"/>
          <w:color w:val="696969"/>
          <w:sz w:val="20"/>
          <w:szCs w:val="20"/>
          <w:lang w:val="en-AU"/>
        </w:rPr>
      </w:pPr>
      <w:r>
        <w:rPr>
          <w:rFonts w:ascii="Arial" w:hAnsi="Arial" w:cs="Arial"/>
          <w:color w:val="696969"/>
          <w:sz w:val="20"/>
          <w:szCs w:val="20"/>
          <w:lang w:val="en-AU"/>
        </w:rPr>
        <w:t>Accordingly, t</w:t>
      </w:r>
      <w:r w:rsidR="003363A4">
        <w:rPr>
          <w:rFonts w:ascii="Arial" w:hAnsi="Arial" w:cs="Arial"/>
          <w:color w:val="696969"/>
          <w:sz w:val="20"/>
          <w:szCs w:val="20"/>
          <w:lang w:val="en-AU"/>
        </w:rPr>
        <w:t xml:space="preserve">his submission </w:t>
      </w:r>
      <w:r>
        <w:rPr>
          <w:rFonts w:ascii="Arial" w:hAnsi="Arial" w:cs="Arial"/>
          <w:color w:val="696969"/>
          <w:sz w:val="20"/>
          <w:szCs w:val="20"/>
          <w:lang w:val="en-AU"/>
        </w:rPr>
        <w:t xml:space="preserve">has been prepared in the context of the Institute’s ongoing advocacy on behalf of the various stakeholders within Australia’s small business community and </w:t>
      </w:r>
      <w:r w:rsidR="003363A4">
        <w:rPr>
          <w:rFonts w:ascii="Arial" w:hAnsi="Arial" w:cs="Arial"/>
          <w:color w:val="696969"/>
          <w:sz w:val="20"/>
          <w:szCs w:val="20"/>
          <w:lang w:val="en-AU"/>
        </w:rPr>
        <w:t xml:space="preserve">provides direct responses to the range of consultation questions contained within Treasury’s Discussion Paper.  </w:t>
      </w:r>
    </w:p>
    <w:p w:rsidR="00FB118E" w:rsidRPr="0067475E" w:rsidRDefault="00FB118E" w:rsidP="003363A4">
      <w:pPr>
        <w:jc w:val="both"/>
        <w:rPr>
          <w:rFonts w:ascii="Arial" w:hAnsi="Arial" w:cs="Arial"/>
          <w:color w:val="696969"/>
          <w:sz w:val="20"/>
          <w:szCs w:val="20"/>
          <w:lang w:val="en-AU"/>
        </w:rPr>
      </w:pPr>
    </w:p>
    <w:p w:rsidR="00FB118E" w:rsidRPr="0067475E" w:rsidRDefault="000169BE" w:rsidP="003363A4">
      <w:pPr>
        <w:jc w:val="both"/>
        <w:rPr>
          <w:rFonts w:ascii="Arial" w:hAnsi="Arial" w:cs="Arial"/>
          <w:color w:val="696969"/>
          <w:sz w:val="20"/>
          <w:szCs w:val="20"/>
          <w:lang w:val="en-AU"/>
        </w:rPr>
      </w:pPr>
      <w:r w:rsidRPr="004D26B5">
        <w:rPr>
          <w:rFonts w:ascii="Arial" w:hAnsi="Arial" w:cs="Arial"/>
          <w:color w:val="696969"/>
          <w:sz w:val="20"/>
          <w:szCs w:val="22"/>
        </w:rPr>
        <w:t>The Institute encourage</w:t>
      </w:r>
      <w:r>
        <w:rPr>
          <w:rFonts w:ascii="Arial" w:hAnsi="Arial" w:cs="Arial"/>
          <w:color w:val="696969"/>
          <w:sz w:val="20"/>
          <w:szCs w:val="22"/>
        </w:rPr>
        <w:t>s</w:t>
      </w:r>
      <w:r w:rsidRPr="004D26B5">
        <w:rPr>
          <w:rFonts w:ascii="Arial" w:hAnsi="Arial" w:cs="Arial"/>
          <w:color w:val="696969"/>
          <w:sz w:val="20"/>
          <w:szCs w:val="22"/>
        </w:rPr>
        <w:t xml:space="preserve"> the removal of impediments to developing viable annuities and other long-term retirement income streams.</w:t>
      </w:r>
      <w:r>
        <w:rPr>
          <w:rFonts w:ascii="Arial" w:hAnsi="Arial" w:cs="Arial"/>
          <w:color w:val="696969"/>
          <w:sz w:val="20"/>
          <w:szCs w:val="22"/>
        </w:rPr>
        <w:t xml:space="preserve"> </w:t>
      </w:r>
      <w:r w:rsidR="00FB118E" w:rsidRPr="0067475E">
        <w:rPr>
          <w:rFonts w:ascii="Arial" w:hAnsi="Arial" w:cs="Arial"/>
          <w:color w:val="696969"/>
          <w:sz w:val="20"/>
          <w:szCs w:val="20"/>
          <w:lang w:val="en-AU"/>
        </w:rPr>
        <w:t>We believe the current tax free status of superannuation benefits and the ability of retirees to draw down the full amount as a lump sum and without restriction as to use; severely undermine the underlying policy intent of superannuation.</w:t>
      </w:r>
      <w:r w:rsidR="00FB118E">
        <w:rPr>
          <w:rFonts w:ascii="Arial" w:hAnsi="Arial" w:cs="Arial"/>
          <w:color w:val="696969"/>
          <w:sz w:val="20"/>
          <w:szCs w:val="20"/>
          <w:lang w:val="en-AU"/>
        </w:rPr>
        <w:t xml:space="preserve"> </w:t>
      </w:r>
      <w:r w:rsidR="00D46E6B">
        <w:rPr>
          <w:rFonts w:ascii="Arial" w:hAnsi="Arial" w:cs="Arial"/>
          <w:color w:val="696969"/>
          <w:sz w:val="20"/>
          <w:szCs w:val="20"/>
          <w:lang w:val="en-AU"/>
        </w:rPr>
        <w:t xml:space="preserve"> </w:t>
      </w:r>
      <w:r w:rsidR="00FB118E" w:rsidRPr="0067475E">
        <w:rPr>
          <w:rFonts w:ascii="Arial" w:hAnsi="Arial" w:cs="Arial"/>
          <w:color w:val="696969"/>
          <w:sz w:val="20"/>
          <w:szCs w:val="20"/>
          <w:lang w:val="en-AU"/>
        </w:rPr>
        <w:t>The Institute therefore argues that policies need to be adopted that encourage retirees to take annuity or pension products upon retirement.</w:t>
      </w:r>
    </w:p>
    <w:p w:rsidR="00FB118E" w:rsidRPr="0067475E" w:rsidRDefault="00FB118E" w:rsidP="003363A4">
      <w:pPr>
        <w:jc w:val="both"/>
        <w:rPr>
          <w:rFonts w:ascii="Arial" w:hAnsi="Arial" w:cs="Arial"/>
          <w:color w:val="696969"/>
          <w:sz w:val="20"/>
          <w:szCs w:val="20"/>
          <w:lang w:val="en-AU"/>
        </w:rPr>
      </w:pPr>
    </w:p>
    <w:p w:rsidR="003363A4" w:rsidRDefault="0015354C" w:rsidP="003363A4">
      <w:pPr>
        <w:pStyle w:val="BodytextArial10pt"/>
        <w:spacing w:before="0" w:after="0"/>
        <w:jc w:val="both"/>
        <w:rPr>
          <w:color w:val="696969"/>
          <w:lang w:val="en-AU"/>
        </w:rPr>
      </w:pPr>
      <w:r w:rsidRPr="0015354C">
        <w:rPr>
          <w:color w:val="696969"/>
          <w:lang w:val="en-AU"/>
        </w:rPr>
        <w:t xml:space="preserve">We welcome the opportunity to discuss our recommendations in more detail with the Government and Treasury. Please address all further enquires to our General Manager – </w:t>
      </w:r>
      <w:r w:rsidR="00C52769">
        <w:rPr>
          <w:color w:val="696969"/>
          <w:lang w:val="en-AU"/>
        </w:rPr>
        <w:t>Technical Policy, Tony Greco</w:t>
      </w:r>
      <w:r w:rsidRPr="0015354C">
        <w:rPr>
          <w:color w:val="696969"/>
          <w:lang w:val="en-AU"/>
        </w:rPr>
        <w:t xml:space="preserve"> </w:t>
      </w:r>
      <w:hyperlink r:id="rId14" w:history="1">
        <w:r w:rsidR="00A654DF" w:rsidRPr="00B67D7D">
          <w:rPr>
            <w:rStyle w:val="Hyperlink"/>
            <w:lang w:val="en-AU"/>
          </w:rPr>
          <w:t>tony.greco@publicaccountants.org.au</w:t>
        </w:r>
      </w:hyperlink>
      <w:r w:rsidR="00A654DF">
        <w:rPr>
          <w:color w:val="696969"/>
          <w:lang w:val="en-AU"/>
        </w:rPr>
        <w:t xml:space="preserve"> or (03) 8665 </w:t>
      </w:r>
      <w:r w:rsidRPr="0015354C">
        <w:rPr>
          <w:color w:val="696969"/>
          <w:lang w:val="en-AU"/>
        </w:rPr>
        <w:t>31</w:t>
      </w:r>
      <w:r w:rsidR="003E0E8E">
        <w:rPr>
          <w:color w:val="696969"/>
          <w:lang w:val="en-AU"/>
        </w:rPr>
        <w:t>34</w:t>
      </w:r>
      <w:r w:rsidRPr="0015354C">
        <w:rPr>
          <w:color w:val="696969"/>
          <w:lang w:val="en-AU"/>
        </w:rPr>
        <w:t>.</w:t>
      </w:r>
    </w:p>
    <w:p w:rsidR="0072041C" w:rsidRPr="00D150FB" w:rsidRDefault="0015354C" w:rsidP="002861E4">
      <w:pPr>
        <w:pStyle w:val="BodytextArial10pt"/>
        <w:rPr>
          <w:color w:val="696969"/>
        </w:rPr>
      </w:pPr>
      <w:r w:rsidRPr="0015354C">
        <w:rPr>
          <w:color w:val="696969"/>
          <w:lang w:val="en-AU"/>
        </w:rPr>
        <w:t>Yours faithfully</w:t>
      </w:r>
    </w:p>
    <w:p w:rsidR="0072041C" w:rsidRPr="00D150FB" w:rsidRDefault="00A81F64" w:rsidP="002861E4">
      <w:pPr>
        <w:pStyle w:val="BodytextArial10pt"/>
        <w:rPr>
          <w:color w:val="696969"/>
        </w:rPr>
      </w:pPr>
      <w:r>
        <w:rPr>
          <w:noProof/>
          <w:color w:val="696969"/>
          <w:lang w:val="en-AU" w:eastAsia="en-AU" w:bidi="ar-SA"/>
        </w:rPr>
        <w:drawing>
          <wp:inline distT="0" distB="0" distL="0" distR="0">
            <wp:extent cx="838200" cy="323850"/>
            <wp:effectExtent l="19050" t="0" r="0" b="0"/>
            <wp:docPr id="2" name="Picture 1" descr="\\fp01\userdata$\vicki.stylianou\Desktop\Vicki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01\userdata$\vicki.stylianou\Desktop\VickiSig.jpg"/>
                    <pic:cNvPicPr>
                      <a:picLocks noChangeAspect="1" noChangeArrowheads="1"/>
                    </pic:cNvPicPr>
                  </pic:nvPicPr>
                  <pic:blipFill>
                    <a:blip r:embed="rId15" cstate="print"/>
                    <a:srcRect/>
                    <a:stretch>
                      <a:fillRect/>
                    </a:stretch>
                  </pic:blipFill>
                  <pic:spPr bwMode="auto">
                    <a:xfrm>
                      <a:off x="0" y="0"/>
                      <a:ext cx="848388" cy="327786"/>
                    </a:xfrm>
                    <a:prstGeom prst="rect">
                      <a:avLst/>
                    </a:prstGeom>
                    <a:noFill/>
                    <a:ln w="9525">
                      <a:noFill/>
                      <a:miter lim="800000"/>
                      <a:headEnd/>
                      <a:tailEnd/>
                    </a:ln>
                  </pic:spPr>
                </pic:pic>
              </a:graphicData>
            </a:graphic>
          </wp:inline>
        </w:drawing>
      </w:r>
    </w:p>
    <w:p w:rsidR="00D46E6B" w:rsidRDefault="000949C1" w:rsidP="000949C1">
      <w:pPr>
        <w:pStyle w:val="BodytextArial10pt"/>
        <w:spacing w:before="0" w:after="0"/>
        <w:rPr>
          <w:color w:val="696969"/>
          <w:lang w:val="en-AU"/>
        </w:rPr>
      </w:pPr>
      <w:r>
        <w:rPr>
          <w:color w:val="696969"/>
          <w:lang w:val="en-AU"/>
        </w:rPr>
        <w:t>Vicki Stylianou</w:t>
      </w:r>
    </w:p>
    <w:p w:rsidR="0072041C" w:rsidRDefault="000949C1" w:rsidP="000949C1">
      <w:pPr>
        <w:pStyle w:val="BodytextArial10pt"/>
        <w:spacing w:before="0" w:after="0"/>
        <w:rPr>
          <w:color w:val="696969"/>
          <w:lang w:val="en-AU"/>
        </w:rPr>
      </w:pPr>
      <w:r>
        <w:rPr>
          <w:color w:val="696969"/>
          <w:lang w:val="en-AU"/>
        </w:rPr>
        <w:t>Executive General Manager, Public Affairs</w:t>
      </w:r>
    </w:p>
    <w:p w:rsidR="000949C1" w:rsidRDefault="000949C1" w:rsidP="000949C1">
      <w:pPr>
        <w:pStyle w:val="BodytextArial10pt"/>
        <w:spacing w:before="0" w:after="0"/>
        <w:rPr>
          <w:color w:val="696969"/>
          <w:lang w:val="en-AU"/>
        </w:rPr>
      </w:pPr>
      <w:r>
        <w:rPr>
          <w:color w:val="696969"/>
          <w:lang w:val="en-AU"/>
        </w:rPr>
        <w:t xml:space="preserve">Institute of Public Accountants </w:t>
      </w:r>
    </w:p>
    <w:p w:rsidR="0015354C" w:rsidRDefault="0015354C" w:rsidP="002861E4">
      <w:pPr>
        <w:pBdr>
          <w:top w:val="single" w:sz="4" w:space="0" w:color="CA5420"/>
          <w:left w:val="single" w:sz="4" w:space="4" w:color="CA5420"/>
          <w:bottom w:val="single" w:sz="4" w:space="0" w:color="CA5420"/>
          <w:right w:val="single" w:sz="4" w:space="4" w:color="CA5420"/>
        </w:pBdr>
        <w:rPr>
          <w:rFonts w:ascii="Arial" w:hAnsi="Arial"/>
          <w:color w:val="696969"/>
          <w:sz w:val="20"/>
        </w:rPr>
      </w:pPr>
    </w:p>
    <w:p w:rsidR="00D72BEA" w:rsidRPr="00D150FB" w:rsidRDefault="00D72BEA" w:rsidP="002861E4">
      <w:pPr>
        <w:pBdr>
          <w:top w:val="single" w:sz="4" w:space="0" w:color="CA5420"/>
          <w:left w:val="single" w:sz="4" w:space="4" w:color="CA5420"/>
          <w:bottom w:val="single" w:sz="4" w:space="0" w:color="CA5420"/>
          <w:right w:val="single" w:sz="4" w:space="4" w:color="CA5420"/>
        </w:pBdr>
        <w:rPr>
          <w:rFonts w:ascii="Arial" w:hAnsi="Arial"/>
          <w:color w:val="696969"/>
          <w:sz w:val="20"/>
        </w:rPr>
      </w:pPr>
      <w:r w:rsidRPr="00D150FB">
        <w:rPr>
          <w:rFonts w:ascii="Arial" w:hAnsi="Arial"/>
          <w:color w:val="696969"/>
          <w:sz w:val="20"/>
        </w:rPr>
        <w:t>COPYRIGHT</w:t>
      </w:r>
    </w:p>
    <w:p w:rsidR="00D72BEA" w:rsidRDefault="00D72BEA" w:rsidP="002861E4">
      <w:pPr>
        <w:pBdr>
          <w:top w:val="single" w:sz="4" w:space="0" w:color="CA5420"/>
          <w:left w:val="single" w:sz="4" w:space="4" w:color="CA5420"/>
          <w:bottom w:val="single" w:sz="4" w:space="0" w:color="CA5420"/>
          <w:right w:val="single" w:sz="4" w:space="4" w:color="CA5420"/>
        </w:pBdr>
        <w:rPr>
          <w:rFonts w:ascii="Arial" w:hAnsi="Arial"/>
          <w:color w:val="696969"/>
          <w:sz w:val="16"/>
        </w:rPr>
      </w:pPr>
      <w:r w:rsidRPr="00D150FB">
        <w:rPr>
          <w:rFonts w:ascii="Arial" w:hAnsi="Arial"/>
          <w:color w:val="696969"/>
          <w:sz w:val="16"/>
        </w:rPr>
        <w:t>© Institute of Public Acco</w:t>
      </w:r>
      <w:r w:rsidR="0072041C" w:rsidRPr="00D150FB">
        <w:rPr>
          <w:rFonts w:ascii="Arial" w:hAnsi="Arial"/>
          <w:color w:val="696969"/>
          <w:sz w:val="16"/>
        </w:rPr>
        <w:t>untants (ABN 81 004 130 643) 201</w:t>
      </w:r>
      <w:r w:rsidR="00FC5C9A">
        <w:rPr>
          <w:rFonts w:ascii="Arial" w:hAnsi="Arial"/>
          <w:color w:val="696969"/>
          <w:sz w:val="16"/>
        </w:rPr>
        <w:t>4</w:t>
      </w:r>
      <w:r w:rsidRPr="00D150FB">
        <w:rPr>
          <w:rFonts w:ascii="Arial" w:hAnsi="Arial"/>
          <w:color w:val="696969"/>
          <w:sz w:val="16"/>
        </w:rPr>
        <w:t xml:space="preserve">.  All rights reserved.  Save and except for third party content, </w:t>
      </w:r>
      <w:r w:rsidRPr="00D150FB">
        <w:rPr>
          <w:rFonts w:ascii="Arial" w:hAnsi="Arial"/>
          <w:color w:val="696969"/>
          <w:sz w:val="16"/>
        </w:rPr>
        <w:br/>
        <w:t>all content in these materials is owned or licensed by the Institute of Public Accountants (ABN 81 004 130 643).</w:t>
      </w:r>
    </w:p>
    <w:p w:rsidR="00D72BEA" w:rsidRPr="009A58E7" w:rsidRDefault="00D72BEA" w:rsidP="00FC29E7">
      <w:pPr>
        <w:pStyle w:val="IPAHeading"/>
      </w:pPr>
      <w:r w:rsidRPr="009A58E7">
        <w:br w:type="page"/>
      </w:r>
      <w:bookmarkStart w:id="3" w:name="_Toc314836483"/>
      <w:bookmarkStart w:id="4" w:name="_Toc314836663"/>
      <w:bookmarkStart w:id="5" w:name="_Toc397555050"/>
      <w:r w:rsidRPr="009A58E7">
        <w:lastRenderedPageBreak/>
        <w:t>Table of Contents</w:t>
      </w:r>
      <w:bookmarkEnd w:id="3"/>
      <w:bookmarkEnd w:id="4"/>
      <w:bookmarkEnd w:id="5"/>
    </w:p>
    <w:p w:rsidR="00D72BEA" w:rsidRPr="00530BCC" w:rsidRDefault="00D72BEA" w:rsidP="002861E4">
      <w:pPr>
        <w:rPr>
          <w:rFonts w:ascii="Arial Narrow" w:hAnsi="Arial Narrow"/>
          <w:b/>
          <w:color w:val="696969"/>
          <w:sz w:val="22"/>
        </w:rPr>
      </w:pPr>
    </w:p>
    <w:bookmarkStart w:id="6" w:name="_Toc314836484"/>
    <w:p w:rsidR="0057597D" w:rsidRDefault="00863955">
      <w:pPr>
        <w:pStyle w:val="TOC1"/>
        <w:rPr>
          <w:rFonts w:asciiTheme="minorHAnsi" w:eastAsiaTheme="minorEastAsia" w:hAnsiTheme="minorHAnsi" w:cstheme="minorBidi"/>
          <w:color w:val="auto"/>
          <w:sz w:val="22"/>
          <w:szCs w:val="22"/>
          <w:lang w:val="en-AU" w:eastAsia="en-AU" w:bidi="ar-SA"/>
        </w:rPr>
      </w:pPr>
      <w:r w:rsidRPr="00863955">
        <w:rPr>
          <w:sz w:val="18"/>
          <w:szCs w:val="18"/>
        </w:rPr>
        <w:fldChar w:fldCharType="begin"/>
      </w:r>
      <w:r w:rsidR="00F6169D" w:rsidRPr="00FB658B">
        <w:rPr>
          <w:sz w:val="18"/>
          <w:szCs w:val="18"/>
        </w:rPr>
        <w:instrText xml:space="preserve"> TOC \f \h \z \t "IPA Heading,1,IPA Sub Heading,2" </w:instrText>
      </w:r>
      <w:r w:rsidRPr="00863955">
        <w:rPr>
          <w:sz w:val="18"/>
          <w:szCs w:val="18"/>
        </w:rPr>
        <w:fldChar w:fldCharType="separate"/>
      </w:r>
      <w:hyperlink w:anchor="_Toc397555049" w:history="1">
        <w:r w:rsidR="0057597D" w:rsidRPr="00416A12">
          <w:rPr>
            <w:rStyle w:val="Hyperlink"/>
          </w:rPr>
          <w:t>Introduction</w:t>
        </w:r>
        <w:r w:rsidR="0057597D">
          <w:rPr>
            <w:webHidden/>
          </w:rPr>
          <w:tab/>
        </w:r>
        <w:r>
          <w:rPr>
            <w:webHidden/>
          </w:rPr>
          <w:fldChar w:fldCharType="begin"/>
        </w:r>
        <w:r w:rsidR="0057597D">
          <w:rPr>
            <w:webHidden/>
          </w:rPr>
          <w:instrText xml:space="preserve"> PAGEREF _Toc397555049 \h </w:instrText>
        </w:r>
        <w:r>
          <w:rPr>
            <w:webHidden/>
          </w:rPr>
        </w:r>
        <w:r>
          <w:rPr>
            <w:webHidden/>
          </w:rPr>
          <w:fldChar w:fldCharType="separate"/>
        </w:r>
        <w:r w:rsidR="0057597D">
          <w:rPr>
            <w:webHidden/>
          </w:rPr>
          <w:t>2</w:t>
        </w:r>
        <w:r>
          <w:rPr>
            <w:webHidden/>
          </w:rPr>
          <w:fldChar w:fldCharType="end"/>
        </w:r>
      </w:hyperlink>
    </w:p>
    <w:p w:rsidR="0057597D" w:rsidRDefault="00863955">
      <w:pPr>
        <w:pStyle w:val="TOC1"/>
        <w:rPr>
          <w:rFonts w:asciiTheme="minorHAnsi" w:eastAsiaTheme="minorEastAsia" w:hAnsiTheme="minorHAnsi" w:cstheme="minorBidi"/>
          <w:color w:val="auto"/>
          <w:sz w:val="22"/>
          <w:szCs w:val="22"/>
          <w:lang w:val="en-AU" w:eastAsia="en-AU" w:bidi="ar-SA"/>
        </w:rPr>
      </w:pPr>
      <w:hyperlink w:anchor="_Toc397555050" w:history="1">
        <w:r w:rsidR="0057597D" w:rsidRPr="00416A12">
          <w:rPr>
            <w:rStyle w:val="Hyperlink"/>
          </w:rPr>
          <w:t>Table of Contents</w:t>
        </w:r>
        <w:r w:rsidR="0057597D">
          <w:rPr>
            <w:webHidden/>
          </w:rPr>
          <w:tab/>
        </w:r>
        <w:r>
          <w:rPr>
            <w:webHidden/>
          </w:rPr>
          <w:fldChar w:fldCharType="begin"/>
        </w:r>
        <w:r w:rsidR="0057597D">
          <w:rPr>
            <w:webHidden/>
          </w:rPr>
          <w:instrText xml:space="preserve"> PAGEREF _Toc397555050 \h </w:instrText>
        </w:r>
        <w:r>
          <w:rPr>
            <w:webHidden/>
          </w:rPr>
        </w:r>
        <w:r>
          <w:rPr>
            <w:webHidden/>
          </w:rPr>
          <w:fldChar w:fldCharType="separate"/>
        </w:r>
        <w:r w:rsidR="0057597D">
          <w:rPr>
            <w:webHidden/>
          </w:rPr>
          <w:t>3</w:t>
        </w:r>
        <w:r>
          <w:rPr>
            <w:webHidden/>
          </w:rPr>
          <w:fldChar w:fldCharType="end"/>
        </w:r>
      </w:hyperlink>
    </w:p>
    <w:p w:rsidR="0057597D" w:rsidRDefault="00863955">
      <w:pPr>
        <w:pStyle w:val="TOC1"/>
        <w:rPr>
          <w:rFonts w:asciiTheme="minorHAnsi" w:eastAsiaTheme="minorEastAsia" w:hAnsiTheme="minorHAnsi" w:cstheme="minorBidi"/>
          <w:color w:val="auto"/>
          <w:sz w:val="22"/>
          <w:szCs w:val="22"/>
          <w:lang w:val="en-AU" w:eastAsia="en-AU" w:bidi="ar-SA"/>
        </w:rPr>
      </w:pPr>
      <w:hyperlink w:anchor="_Toc397555051" w:history="1">
        <w:r w:rsidR="0057597D" w:rsidRPr="00416A12">
          <w:rPr>
            <w:rStyle w:val="Hyperlink"/>
          </w:rPr>
          <w:t>1.0 The regulatory arrangements for superannuation income streams</w:t>
        </w:r>
        <w:r w:rsidR="0057597D">
          <w:rPr>
            <w:webHidden/>
          </w:rPr>
          <w:tab/>
        </w:r>
        <w:r>
          <w:rPr>
            <w:webHidden/>
          </w:rPr>
          <w:fldChar w:fldCharType="begin"/>
        </w:r>
        <w:r w:rsidR="0057597D">
          <w:rPr>
            <w:webHidden/>
          </w:rPr>
          <w:instrText xml:space="preserve"> PAGEREF _Toc397555051 \h </w:instrText>
        </w:r>
        <w:r>
          <w:rPr>
            <w:webHidden/>
          </w:rPr>
        </w:r>
        <w:r>
          <w:rPr>
            <w:webHidden/>
          </w:rPr>
          <w:fldChar w:fldCharType="separate"/>
        </w:r>
        <w:r w:rsidR="0057597D">
          <w:rPr>
            <w:webHidden/>
          </w:rPr>
          <w:t>4</w:t>
        </w:r>
        <w:r>
          <w:rPr>
            <w:webHidden/>
          </w:rPr>
          <w:fldChar w:fldCharType="end"/>
        </w:r>
      </w:hyperlink>
    </w:p>
    <w:p w:rsidR="0057597D" w:rsidRDefault="00863955">
      <w:pPr>
        <w:pStyle w:val="TOC1"/>
        <w:rPr>
          <w:rFonts w:asciiTheme="minorHAnsi" w:eastAsiaTheme="minorEastAsia" w:hAnsiTheme="minorHAnsi" w:cstheme="minorBidi"/>
          <w:color w:val="auto"/>
          <w:sz w:val="22"/>
          <w:szCs w:val="22"/>
          <w:lang w:val="en-AU" w:eastAsia="en-AU" w:bidi="ar-SA"/>
        </w:rPr>
      </w:pPr>
      <w:hyperlink w:anchor="_Toc397555052" w:history="1">
        <w:r w:rsidR="0057597D" w:rsidRPr="00416A12">
          <w:rPr>
            <w:rStyle w:val="Hyperlink"/>
          </w:rPr>
          <w:t>2.0 Deferred lifetime annuities</w:t>
        </w:r>
        <w:r w:rsidR="0057597D">
          <w:rPr>
            <w:webHidden/>
          </w:rPr>
          <w:tab/>
        </w:r>
        <w:r>
          <w:rPr>
            <w:webHidden/>
          </w:rPr>
          <w:fldChar w:fldCharType="begin"/>
        </w:r>
        <w:r w:rsidR="0057597D">
          <w:rPr>
            <w:webHidden/>
          </w:rPr>
          <w:instrText xml:space="preserve"> PAGEREF _Toc397555052 \h </w:instrText>
        </w:r>
        <w:r>
          <w:rPr>
            <w:webHidden/>
          </w:rPr>
        </w:r>
        <w:r>
          <w:rPr>
            <w:webHidden/>
          </w:rPr>
          <w:fldChar w:fldCharType="separate"/>
        </w:r>
        <w:r w:rsidR="0057597D">
          <w:rPr>
            <w:webHidden/>
          </w:rPr>
          <w:t>5</w:t>
        </w:r>
        <w:r>
          <w:rPr>
            <w:webHidden/>
          </w:rPr>
          <w:fldChar w:fldCharType="end"/>
        </w:r>
      </w:hyperlink>
    </w:p>
    <w:p w:rsidR="0057597D" w:rsidRDefault="00863955">
      <w:pPr>
        <w:pStyle w:val="TOC1"/>
        <w:rPr>
          <w:rFonts w:asciiTheme="minorHAnsi" w:eastAsiaTheme="minorEastAsia" w:hAnsiTheme="minorHAnsi" w:cstheme="minorBidi"/>
          <w:color w:val="auto"/>
          <w:sz w:val="22"/>
          <w:szCs w:val="22"/>
          <w:lang w:val="en-AU" w:eastAsia="en-AU" w:bidi="ar-SA"/>
        </w:rPr>
      </w:pPr>
      <w:hyperlink w:anchor="_Toc397555053" w:history="1">
        <w:r w:rsidR="0057597D" w:rsidRPr="00416A12">
          <w:rPr>
            <w:rStyle w:val="Hyperlink"/>
          </w:rPr>
          <w:t>3.0 The minimum payment amounts for account-based income streams</w:t>
        </w:r>
        <w:r w:rsidR="0057597D">
          <w:rPr>
            <w:webHidden/>
          </w:rPr>
          <w:tab/>
        </w:r>
        <w:r>
          <w:rPr>
            <w:webHidden/>
          </w:rPr>
          <w:fldChar w:fldCharType="begin"/>
        </w:r>
        <w:r w:rsidR="0057597D">
          <w:rPr>
            <w:webHidden/>
          </w:rPr>
          <w:instrText xml:space="preserve"> PAGEREF _Toc397555053 \h </w:instrText>
        </w:r>
        <w:r>
          <w:rPr>
            <w:webHidden/>
          </w:rPr>
        </w:r>
        <w:r>
          <w:rPr>
            <w:webHidden/>
          </w:rPr>
          <w:fldChar w:fldCharType="separate"/>
        </w:r>
        <w:r w:rsidR="0057597D">
          <w:rPr>
            <w:webHidden/>
          </w:rPr>
          <w:t>6</w:t>
        </w:r>
        <w:r>
          <w:rPr>
            <w:webHidden/>
          </w:rPr>
          <w:fldChar w:fldCharType="end"/>
        </w:r>
      </w:hyperlink>
    </w:p>
    <w:p w:rsidR="0057597D" w:rsidRDefault="00863955">
      <w:pPr>
        <w:pStyle w:val="TOC1"/>
        <w:rPr>
          <w:rFonts w:asciiTheme="minorHAnsi" w:eastAsiaTheme="minorEastAsia" w:hAnsiTheme="minorHAnsi" w:cstheme="minorBidi"/>
          <w:color w:val="auto"/>
          <w:sz w:val="22"/>
          <w:szCs w:val="22"/>
          <w:lang w:val="en-AU" w:eastAsia="en-AU" w:bidi="ar-SA"/>
        </w:rPr>
      </w:pPr>
      <w:hyperlink w:anchor="_Toc397555054" w:history="1">
        <w:r w:rsidR="0057597D" w:rsidRPr="00416A12">
          <w:rPr>
            <w:rStyle w:val="Hyperlink"/>
          </w:rPr>
          <w:t>4.0 Appendix for response to question 12</w:t>
        </w:r>
        <w:r w:rsidR="0057597D">
          <w:rPr>
            <w:webHidden/>
          </w:rPr>
          <w:tab/>
        </w:r>
        <w:r>
          <w:rPr>
            <w:webHidden/>
          </w:rPr>
          <w:fldChar w:fldCharType="begin"/>
        </w:r>
        <w:r w:rsidR="0057597D">
          <w:rPr>
            <w:webHidden/>
          </w:rPr>
          <w:instrText xml:space="preserve"> PAGEREF _Toc397555054 \h </w:instrText>
        </w:r>
        <w:r>
          <w:rPr>
            <w:webHidden/>
          </w:rPr>
        </w:r>
        <w:r>
          <w:rPr>
            <w:webHidden/>
          </w:rPr>
          <w:fldChar w:fldCharType="separate"/>
        </w:r>
        <w:r w:rsidR="0057597D">
          <w:rPr>
            <w:webHidden/>
          </w:rPr>
          <w:t>10</w:t>
        </w:r>
        <w:r>
          <w:rPr>
            <w:webHidden/>
          </w:rPr>
          <w:fldChar w:fldCharType="end"/>
        </w:r>
      </w:hyperlink>
    </w:p>
    <w:p w:rsidR="0057597D" w:rsidRDefault="00863955">
      <w:pPr>
        <w:pStyle w:val="TOC1"/>
        <w:rPr>
          <w:rFonts w:asciiTheme="minorHAnsi" w:eastAsiaTheme="minorEastAsia" w:hAnsiTheme="minorHAnsi" w:cstheme="minorBidi"/>
          <w:color w:val="auto"/>
          <w:sz w:val="22"/>
          <w:szCs w:val="22"/>
          <w:lang w:val="en-AU" w:eastAsia="en-AU" w:bidi="ar-SA"/>
        </w:rPr>
      </w:pPr>
      <w:hyperlink w:anchor="_Toc397555055" w:history="1">
        <w:r w:rsidR="0057597D" w:rsidRPr="00416A12">
          <w:rPr>
            <w:rStyle w:val="Hyperlink"/>
          </w:rPr>
          <w:t>Contact</w:t>
        </w:r>
        <w:r w:rsidR="0057597D">
          <w:rPr>
            <w:webHidden/>
          </w:rPr>
          <w:tab/>
        </w:r>
        <w:r>
          <w:rPr>
            <w:webHidden/>
          </w:rPr>
          <w:fldChar w:fldCharType="begin"/>
        </w:r>
        <w:r w:rsidR="0057597D">
          <w:rPr>
            <w:webHidden/>
          </w:rPr>
          <w:instrText xml:space="preserve"> PAGEREF _Toc397555055 \h </w:instrText>
        </w:r>
        <w:r>
          <w:rPr>
            <w:webHidden/>
          </w:rPr>
        </w:r>
        <w:r>
          <w:rPr>
            <w:webHidden/>
          </w:rPr>
          <w:fldChar w:fldCharType="separate"/>
        </w:r>
        <w:r w:rsidR="0057597D">
          <w:rPr>
            <w:webHidden/>
          </w:rPr>
          <w:t>13</w:t>
        </w:r>
        <w:r>
          <w:rPr>
            <w:webHidden/>
          </w:rPr>
          <w:fldChar w:fldCharType="end"/>
        </w:r>
      </w:hyperlink>
    </w:p>
    <w:p w:rsidR="00A654DF" w:rsidRDefault="00863955" w:rsidP="00FC29E7">
      <w:pPr>
        <w:pStyle w:val="IPAHeading"/>
      </w:pPr>
      <w:r w:rsidRPr="00FB658B">
        <w:fldChar w:fldCharType="end"/>
      </w:r>
      <w:bookmarkEnd w:id="6"/>
    </w:p>
    <w:p w:rsidR="00BC010B" w:rsidRDefault="00BC010B" w:rsidP="00FC29E7">
      <w:pPr>
        <w:pStyle w:val="IPAHeading"/>
      </w:pPr>
    </w:p>
    <w:p w:rsidR="00BC010B" w:rsidRPr="00BC010B" w:rsidRDefault="00BC010B" w:rsidP="00BC010B">
      <w:pPr>
        <w:rPr>
          <w:lang w:val="en-GB" w:bidi="ar-SA"/>
        </w:rPr>
      </w:pPr>
    </w:p>
    <w:p w:rsidR="00BC010B" w:rsidRPr="00BC010B" w:rsidRDefault="00BC010B" w:rsidP="00BC010B">
      <w:pPr>
        <w:rPr>
          <w:lang w:val="en-GB" w:bidi="ar-SA"/>
        </w:rPr>
      </w:pPr>
    </w:p>
    <w:p w:rsidR="00BC010B" w:rsidRPr="00BC010B" w:rsidRDefault="00BC010B" w:rsidP="00BC010B">
      <w:pPr>
        <w:rPr>
          <w:lang w:val="en-GB" w:bidi="ar-SA"/>
        </w:rPr>
      </w:pPr>
    </w:p>
    <w:p w:rsidR="00BC010B" w:rsidRDefault="00BC010B" w:rsidP="00FC29E7">
      <w:pPr>
        <w:pStyle w:val="IPAHeading"/>
      </w:pPr>
    </w:p>
    <w:p w:rsidR="00BC010B" w:rsidRDefault="00BC010B" w:rsidP="00FC29E7">
      <w:pPr>
        <w:pStyle w:val="IPAHeading"/>
      </w:pPr>
      <w:r>
        <w:tab/>
      </w:r>
    </w:p>
    <w:p w:rsidR="00FC29E7" w:rsidRDefault="00D867C1" w:rsidP="004D26B5">
      <w:pPr>
        <w:pStyle w:val="IPAHeading"/>
        <w:rPr>
          <w:b w:val="0"/>
          <w:sz w:val="20"/>
          <w:szCs w:val="20"/>
        </w:rPr>
      </w:pPr>
      <w:r w:rsidRPr="00BC010B">
        <w:br w:type="page"/>
      </w:r>
    </w:p>
    <w:p w:rsidR="00DF4926" w:rsidRPr="00056F73" w:rsidRDefault="006946EA" w:rsidP="00FC29E7">
      <w:pPr>
        <w:pStyle w:val="IPAHeading"/>
      </w:pPr>
      <w:bookmarkStart w:id="7" w:name="_Toc397555051"/>
      <w:bookmarkStart w:id="8" w:name="_Toc314836486"/>
      <w:bookmarkStart w:id="9" w:name="_Toc314836666"/>
      <w:bookmarkStart w:id="10" w:name="_Toc314836492"/>
      <w:bookmarkStart w:id="11" w:name="_Toc314836672"/>
      <w:r>
        <w:lastRenderedPageBreak/>
        <w:t xml:space="preserve">1.0 </w:t>
      </w:r>
      <w:r w:rsidR="00DF4926" w:rsidRPr="00056F73">
        <w:t>T</w:t>
      </w:r>
      <w:r w:rsidR="00F87307">
        <w:t>he regulatory arrangements for superannuation income streams</w:t>
      </w:r>
      <w:bookmarkEnd w:id="7"/>
    </w:p>
    <w:bookmarkEnd w:id="8"/>
    <w:bookmarkEnd w:id="9"/>
    <w:p w:rsidR="00DF4926" w:rsidRPr="00056F73" w:rsidRDefault="00DF4926" w:rsidP="002861E4">
      <w:pPr>
        <w:rPr>
          <w:rFonts w:ascii="Arial" w:hAnsi="Arial" w:cs="Arial"/>
          <w:b/>
          <w:sz w:val="20"/>
          <w:szCs w:val="20"/>
          <w:lang w:val="en-AU"/>
        </w:rPr>
      </w:pPr>
    </w:p>
    <w:p w:rsidR="006946EA" w:rsidRPr="00B429E2" w:rsidRDefault="006946EA" w:rsidP="006946EA">
      <w:pPr>
        <w:pStyle w:val="BoxText"/>
        <w:rPr>
          <w:i/>
          <w:szCs w:val="22"/>
        </w:rPr>
      </w:pPr>
      <w:r w:rsidRPr="00B429E2">
        <w:rPr>
          <w:b/>
          <w:i/>
          <w:szCs w:val="22"/>
        </w:rPr>
        <w:t>Question 1:</w:t>
      </w:r>
      <w:r w:rsidRPr="00B429E2">
        <w:rPr>
          <w:i/>
          <w:szCs w:val="22"/>
        </w:rPr>
        <w:t xml:space="preserve"> What types of income stream products would enable retirees to better manage risk in the retirement phase (in particular longevity risk and investment risk)?</w:t>
      </w:r>
    </w:p>
    <w:p w:rsidR="00AC6BC9" w:rsidRPr="004D26B5" w:rsidRDefault="00B429E2" w:rsidP="006946EA">
      <w:pPr>
        <w:pStyle w:val="BoxText"/>
        <w:rPr>
          <w:rFonts w:ascii="Arial" w:hAnsi="Arial" w:cs="Arial"/>
          <w:color w:val="696969"/>
          <w:sz w:val="20"/>
          <w:szCs w:val="22"/>
          <w:lang w:eastAsia="en-US" w:bidi="en-US"/>
        </w:rPr>
      </w:pPr>
      <w:r w:rsidRPr="004D26B5">
        <w:rPr>
          <w:rFonts w:ascii="Arial" w:hAnsi="Arial" w:cs="Arial"/>
          <w:color w:val="696969"/>
          <w:sz w:val="20"/>
          <w:szCs w:val="22"/>
          <w:lang w:eastAsia="en-US" w:bidi="en-US"/>
        </w:rPr>
        <w:t xml:space="preserve">As the Treasury’s Discussion Paper highlights, lifetime income streams insure the holder against both investment and longevity risk whilst the holders of account-based income streams bear all the investment risk themselves.  </w:t>
      </w:r>
      <w:r w:rsidR="00AC6BC9" w:rsidRPr="004D26B5">
        <w:rPr>
          <w:rFonts w:ascii="Arial" w:hAnsi="Arial" w:cs="Arial"/>
          <w:color w:val="696969"/>
          <w:sz w:val="20"/>
          <w:szCs w:val="22"/>
          <w:lang w:eastAsia="en-US" w:bidi="en-US"/>
        </w:rPr>
        <w:t>The Institute of Public Accountants is concerned that these income streams will not suit the investment risk profiles for all individuals and would encourage Treasury to allow holders some flexibility with their investment choices, like they currently enjoy in the accumulation phase.</w:t>
      </w:r>
    </w:p>
    <w:p w:rsidR="00FC29E7" w:rsidRPr="004D26B5" w:rsidRDefault="00B429E2" w:rsidP="006946EA">
      <w:pPr>
        <w:pStyle w:val="BoxText"/>
        <w:rPr>
          <w:rFonts w:ascii="Arial" w:hAnsi="Arial" w:cs="Arial"/>
          <w:color w:val="696969"/>
          <w:sz w:val="20"/>
          <w:szCs w:val="22"/>
          <w:lang w:eastAsia="en-US" w:bidi="en-US"/>
        </w:rPr>
      </w:pPr>
      <w:r w:rsidRPr="004D26B5">
        <w:rPr>
          <w:rFonts w:ascii="Arial" w:hAnsi="Arial" w:cs="Arial"/>
          <w:color w:val="696969"/>
          <w:sz w:val="20"/>
          <w:szCs w:val="22"/>
          <w:lang w:eastAsia="en-US" w:bidi="en-US"/>
        </w:rPr>
        <w:t xml:space="preserve">The Institute of Public Accountants believes that the longevity risk of account-based income streams could be managed by the setting of a maximum drawdown rate (that is, not 100 per cent of funds can be withdrawn immediately when all conditions of release are satisfied), together with a taxation inducement to drawdown </w:t>
      </w:r>
      <w:r w:rsidR="00AC6BC9" w:rsidRPr="004D26B5">
        <w:rPr>
          <w:rFonts w:ascii="Arial" w:hAnsi="Arial" w:cs="Arial"/>
          <w:color w:val="696969"/>
          <w:sz w:val="20"/>
          <w:szCs w:val="22"/>
          <w:lang w:eastAsia="en-US" w:bidi="en-US"/>
        </w:rPr>
        <w:t>closer to the minimum rate. The Institute would encourage soft ind</w:t>
      </w:r>
      <w:r w:rsidR="004D26B5">
        <w:rPr>
          <w:rFonts w:ascii="Arial" w:hAnsi="Arial" w:cs="Arial"/>
          <w:color w:val="696969"/>
          <w:sz w:val="20"/>
          <w:szCs w:val="22"/>
          <w:lang w:eastAsia="en-US" w:bidi="en-US"/>
        </w:rPr>
        <w:t>ucement rather than compulsion.</w:t>
      </w:r>
    </w:p>
    <w:p w:rsidR="006946EA" w:rsidRPr="00B429E2" w:rsidRDefault="006946EA" w:rsidP="006946EA">
      <w:pPr>
        <w:pStyle w:val="BoxText"/>
        <w:rPr>
          <w:i/>
          <w:szCs w:val="22"/>
        </w:rPr>
      </w:pPr>
      <w:r w:rsidRPr="00B429E2">
        <w:rPr>
          <w:b/>
          <w:i/>
          <w:szCs w:val="22"/>
        </w:rPr>
        <w:t>Question 2:</w:t>
      </w:r>
      <w:r w:rsidRPr="00B429E2">
        <w:rPr>
          <w:i/>
          <w:szCs w:val="22"/>
        </w:rPr>
        <w:t xml:space="preserve"> Do the annuity and pension rules constitute an impediment to the development of new products and if so, what features of the rules are of most concern from a product innovation perspective?</w:t>
      </w:r>
    </w:p>
    <w:p w:rsidR="006B13D6" w:rsidRPr="004D26B5" w:rsidRDefault="00AC6BC9" w:rsidP="006946EA">
      <w:pPr>
        <w:pStyle w:val="BoxText"/>
        <w:rPr>
          <w:rFonts w:ascii="Arial" w:hAnsi="Arial" w:cs="Arial"/>
          <w:color w:val="696969"/>
          <w:sz w:val="20"/>
          <w:szCs w:val="22"/>
          <w:lang w:eastAsia="en-US" w:bidi="en-US"/>
        </w:rPr>
      </w:pPr>
      <w:r w:rsidRPr="004D26B5">
        <w:rPr>
          <w:rFonts w:ascii="Arial" w:hAnsi="Arial" w:cs="Arial"/>
          <w:color w:val="696969"/>
          <w:sz w:val="20"/>
          <w:szCs w:val="22"/>
          <w:lang w:eastAsia="en-US" w:bidi="en-US"/>
        </w:rPr>
        <w:t xml:space="preserve">The Institute of Public Accountants believes that the current annuity and pension rules do constitute an impediment to the development of new products.  The Institute is particularly concerned with </w:t>
      </w:r>
      <w:r w:rsidR="00572B9F" w:rsidRPr="004D26B5">
        <w:rPr>
          <w:rFonts w:ascii="Arial" w:hAnsi="Arial" w:cs="Arial"/>
          <w:color w:val="696969"/>
          <w:sz w:val="20"/>
          <w:szCs w:val="22"/>
          <w:lang w:eastAsia="en-US" w:bidi="en-US"/>
        </w:rPr>
        <w:t xml:space="preserve">the current </w:t>
      </w:r>
      <w:r w:rsidR="00FC29E7" w:rsidRPr="004D26B5">
        <w:rPr>
          <w:rFonts w:ascii="Arial" w:hAnsi="Arial" w:cs="Arial"/>
          <w:color w:val="696969"/>
          <w:sz w:val="20"/>
          <w:szCs w:val="22"/>
          <w:lang w:eastAsia="en-US" w:bidi="en-US"/>
        </w:rPr>
        <w:t xml:space="preserve">ability to withdraw benefits in full as a lump sum.  This </w:t>
      </w:r>
      <w:r w:rsidR="006B13D6" w:rsidRPr="004D26B5">
        <w:rPr>
          <w:rFonts w:ascii="Arial" w:hAnsi="Arial" w:cs="Arial"/>
          <w:color w:val="696969"/>
          <w:sz w:val="20"/>
          <w:szCs w:val="22"/>
          <w:lang w:eastAsia="en-US" w:bidi="en-US"/>
        </w:rPr>
        <w:t>imposition creates high liquidity risk upon product providers who already have high set-up costs in establishing and marketing new products.</w:t>
      </w:r>
    </w:p>
    <w:p w:rsidR="006946EA" w:rsidRPr="00B429E2" w:rsidRDefault="006946EA" w:rsidP="006946EA">
      <w:pPr>
        <w:pStyle w:val="BoxText"/>
        <w:rPr>
          <w:i/>
          <w:szCs w:val="22"/>
        </w:rPr>
      </w:pPr>
      <w:r w:rsidRPr="00B429E2">
        <w:rPr>
          <w:b/>
          <w:i/>
          <w:szCs w:val="22"/>
        </w:rPr>
        <w:t>Question 3:</w:t>
      </w:r>
      <w:r w:rsidRPr="00B429E2">
        <w:rPr>
          <w:i/>
          <w:szCs w:val="22"/>
        </w:rPr>
        <w:t xml:space="preserve"> What changes could be made to the annuity and pension rules to accommodate a wider range of income stream products while having regard to the need to protect against abuse of the earnings tax exemption and to promote appropriate and prudent retirement income objectives?</w:t>
      </w:r>
    </w:p>
    <w:p w:rsidR="004D26B5" w:rsidRPr="004D26B5" w:rsidRDefault="004D26B5" w:rsidP="004D26B5">
      <w:pPr>
        <w:pStyle w:val="BoxText"/>
        <w:rPr>
          <w:rFonts w:ascii="Arial" w:hAnsi="Arial" w:cs="Arial"/>
          <w:color w:val="696969"/>
          <w:sz w:val="20"/>
          <w:szCs w:val="22"/>
          <w:lang w:eastAsia="en-US" w:bidi="en-US"/>
        </w:rPr>
      </w:pPr>
      <w:r w:rsidRPr="004D26B5">
        <w:rPr>
          <w:rFonts w:ascii="Arial" w:hAnsi="Arial" w:cs="Arial"/>
          <w:color w:val="696969"/>
          <w:sz w:val="20"/>
          <w:szCs w:val="22"/>
          <w:lang w:eastAsia="en-US" w:bidi="en-US"/>
        </w:rPr>
        <w:t xml:space="preserve">Further to our response in question 2, the Institute recommends the re-introduction of maximum drawdown payments for pensions.  Please refer to Table 3.2 and accompanying commentary in our response to question 12 for further details in respect to this recommendation.  </w:t>
      </w:r>
    </w:p>
    <w:p w:rsidR="004D26B5" w:rsidRPr="004D26B5" w:rsidRDefault="004D26B5" w:rsidP="004D26B5">
      <w:pPr>
        <w:pStyle w:val="BoxText"/>
        <w:rPr>
          <w:rFonts w:ascii="Arial" w:hAnsi="Arial" w:cs="Arial"/>
          <w:color w:val="696969"/>
          <w:sz w:val="20"/>
          <w:szCs w:val="22"/>
          <w:lang w:eastAsia="en-US" w:bidi="en-US"/>
        </w:rPr>
      </w:pPr>
      <w:r w:rsidRPr="004D26B5">
        <w:rPr>
          <w:rFonts w:ascii="Arial" w:hAnsi="Arial" w:cs="Arial"/>
          <w:color w:val="696969"/>
          <w:sz w:val="20"/>
          <w:szCs w:val="22"/>
          <w:lang w:eastAsia="en-US" w:bidi="en-US"/>
        </w:rPr>
        <w:t>As stated above in our response to question 1, the Institute prefers soft inducement rather than compulsion and hence would encourage amendment to existing taxation laws that would encourage individuals to receive a pension rather than take benefits as a lump sum.  As such, the Institute recommends the age threshold of 60, whereby any lump sum withdrawn by those aged less than 60 is tax free up to a cap, which is currently $180,000, be removed.  In other words, any lump sum in excess of a member’s life time low rate cap, irrespective of their age, will be taxed at the same rate (currently 16.5 per cent) as anyone under age 60.</w:t>
      </w:r>
    </w:p>
    <w:p w:rsidR="004D26B5" w:rsidRPr="004D26B5" w:rsidRDefault="004D26B5" w:rsidP="004D26B5">
      <w:pPr>
        <w:pStyle w:val="BoxText"/>
        <w:rPr>
          <w:rFonts w:ascii="Arial" w:hAnsi="Arial" w:cs="Arial"/>
          <w:color w:val="696969"/>
          <w:sz w:val="20"/>
          <w:szCs w:val="22"/>
          <w:lang w:eastAsia="en-US" w:bidi="en-US"/>
        </w:rPr>
      </w:pPr>
      <w:r w:rsidRPr="004D26B5">
        <w:rPr>
          <w:rFonts w:ascii="Arial" w:hAnsi="Arial" w:cs="Arial"/>
          <w:color w:val="696969"/>
          <w:sz w:val="20"/>
          <w:szCs w:val="22"/>
          <w:lang w:eastAsia="en-US" w:bidi="en-US"/>
        </w:rPr>
        <w:t xml:space="preserve">The Institute </w:t>
      </w:r>
      <w:r w:rsidR="00523169">
        <w:rPr>
          <w:rFonts w:ascii="Arial" w:hAnsi="Arial" w:cs="Arial"/>
          <w:color w:val="696969"/>
          <w:sz w:val="20"/>
          <w:szCs w:val="22"/>
          <w:lang w:eastAsia="en-US" w:bidi="en-US"/>
        </w:rPr>
        <w:t xml:space="preserve">recommends that tax rules around superannuation income stream products that don’t satisfy the current earnings tax exemption, such as deferred lifetime annuities (DLAs), could be modified so that these products could receive concessional tax treatment that applies to income derived from superannuation assets supporting income streams. </w:t>
      </w:r>
    </w:p>
    <w:p w:rsidR="00F87307" w:rsidRDefault="004D26B5" w:rsidP="004D26B5">
      <w:pPr>
        <w:pStyle w:val="BoxText"/>
        <w:rPr>
          <w:rFonts w:ascii="Arial" w:hAnsi="Arial" w:cs="Arial"/>
          <w:color w:val="696969"/>
          <w:sz w:val="20"/>
          <w:szCs w:val="22"/>
          <w:lang w:eastAsia="en-US" w:bidi="en-US"/>
        </w:rPr>
      </w:pPr>
      <w:r w:rsidRPr="004D26B5">
        <w:rPr>
          <w:rFonts w:ascii="Arial" w:hAnsi="Arial" w:cs="Arial"/>
          <w:color w:val="696969"/>
          <w:sz w:val="20"/>
          <w:szCs w:val="22"/>
          <w:lang w:eastAsia="en-US" w:bidi="en-US"/>
        </w:rPr>
        <w:lastRenderedPageBreak/>
        <w:t>The Institute would encourage the removal of these impediments to developing viable annuities and other long-term retirement income streams.</w:t>
      </w:r>
      <w:r w:rsidR="00523169">
        <w:rPr>
          <w:rFonts w:ascii="Arial" w:hAnsi="Arial" w:cs="Arial"/>
          <w:color w:val="696969"/>
          <w:sz w:val="20"/>
          <w:szCs w:val="22"/>
          <w:lang w:eastAsia="en-US" w:bidi="en-US"/>
        </w:rPr>
        <w:t xml:space="preserve"> </w:t>
      </w:r>
      <w:r w:rsidR="006016C6" w:rsidRPr="004D26B5">
        <w:rPr>
          <w:rFonts w:ascii="Arial" w:hAnsi="Arial" w:cs="Arial"/>
          <w:color w:val="696969"/>
          <w:sz w:val="20"/>
          <w:szCs w:val="22"/>
          <w:lang w:eastAsia="en-US" w:bidi="en-US"/>
        </w:rPr>
        <w:t>It would be expected that the introduction of some of these changes would lead to new products being brought onto the market.</w:t>
      </w:r>
    </w:p>
    <w:p w:rsidR="00523169" w:rsidRPr="004D26B5" w:rsidRDefault="00523169" w:rsidP="004D26B5">
      <w:pPr>
        <w:pStyle w:val="BoxText"/>
        <w:rPr>
          <w:rFonts w:ascii="Arial" w:hAnsi="Arial" w:cs="Arial"/>
          <w:color w:val="696969"/>
          <w:sz w:val="20"/>
          <w:szCs w:val="22"/>
          <w:lang w:eastAsia="en-US" w:bidi="en-US"/>
        </w:rPr>
      </w:pPr>
    </w:p>
    <w:p w:rsidR="009B3803" w:rsidRPr="009B3803" w:rsidRDefault="00F87307" w:rsidP="00FC29E7">
      <w:pPr>
        <w:pStyle w:val="IPAHeading"/>
        <w:rPr>
          <w:rFonts w:asciiTheme="minorHAnsi" w:hAnsiTheme="minorHAnsi"/>
          <w:color w:val="696969"/>
          <w:sz w:val="22"/>
          <w:szCs w:val="22"/>
          <w:lang w:val="en-AU" w:eastAsia="en-AU"/>
        </w:rPr>
      </w:pPr>
      <w:bookmarkStart w:id="12" w:name="_Toc397555052"/>
      <w:r>
        <w:t>2.0 Deferred lifetime annuities</w:t>
      </w:r>
      <w:bookmarkEnd w:id="12"/>
    </w:p>
    <w:p w:rsidR="006946EA" w:rsidRPr="009B3803" w:rsidRDefault="006946EA" w:rsidP="002861E4">
      <w:pPr>
        <w:rPr>
          <w:rFonts w:asciiTheme="minorHAnsi" w:hAnsiTheme="minorHAnsi" w:cs="Arial"/>
          <w:color w:val="696969"/>
          <w:sz w:val="22"/>
          <w:szCs w:val="22"/>
          <w:lang w:val="en-AU" w:eastAsia="en-AU"/>
        </w:rPr>
      </w:pPr>
    </w:p>
    <w:p w:rsidR="00B255D5" w:rsidRPr="00B429E2" w:rsidRDefault="00B255D5" w:rsidP="00B255D5">
      <w:pPr>
        <w:pStyle w:val="BoxText"/>
        <w:spacing w:after="180"/>
        <w:rPr>
          <w:i/>
          <w:szCs w:val="22"/>
        </w:rPr>
      </w:pPr>
      <w:r w:rsidRPr="00B429E2">
        <w:rPr>
          <w:b/>
          <w:i/>
          <w:szCs w:val="22"/>
        </w:rPr>
        <w:t xml:space="preserve">Question 5: </w:t>
      </w:r>
      <w:r w:rsidRPr="00B429E2">
        <w:rPr>
          <w:i/>
          <w:szCs w:val="22"/>
        </w:rPr>
        <w:t xml:space="preserve">Should people only be able to purchase a DLA with superannuation money? </w:t>
      </w:r>
    </w:p>
    <w:p w:rsidR="009B3803" w:rsidRDefault="00033996" w:rsidP="00A459EB">
      <w:pPr>
        <w:pStyle w:val="BoxText"/>
        <w:rPr>
          <w:b/>
          <w:szCs w:val="22"/>
        </w:rPr>
      </w:pPr>
      <w:r w:rsidRPr="004D26B5">
        <w:rPr>
          <w:rFonts w:ascii="Arial" w:hAnsi="Arial" w:cs="Arial"/>
          <w:color w:val="696969"/>
          <w:sz w:val="20"/>
          <w:szCs w:val="22"/>
          <w:lang w:eastAsia="en-US" w:bidi="en-US"/>
        </w:rPr>
        <w:t xml:space="preserve">It is the view of the Institute of Public Accountants that </w:t>
      </w:r>
      <w:r w:rsidR="006016C6" w:rsidRPr="004D26B5">
        <w:rPr>
          <w:rFonts w:ascii="Arial" w:hAnsi="Arial" w:cs="Arial"/>
          <w:color w:val="696969"/>
          <w:sz w:val="20"/>
          <w:szCs w:val="22"/>
          <w:lang w:eastAsia="en-US" w:bidi="en-US"/>
        </w:rPr>
        <w:t xml:space="preserve">it would be appropriate that </w:t>
      </w:r>
      <w:r w:rsidRPr="004D26B5">
        <w:rPr>
          <w:rFonts w:ascii="Arial" w:hAnsi="Arial" w:cs="Arial"/>
          <w:color w:val="696969"/>
          <w:sz w:val="20"/>
          <w:szCs w:val="22"/>
          <w:lang w:eastAsia="en-US" w:bidi="en-US"/>
        </w:rPr>
        <w:t>people should only be able to purchase a DLA with superannuation monies</w:t>
      </w:r>
      <w:r w:rsidR="006016C6" w:rsidRPr="004D26B5">
        <w:rPr>
          <w:rFonts w:ascii="Arial" w:hAnsi="Arial" w:cs="Arial"/>
          <w:color w:val="696969"/>
          <w:sz w:val="20"/>
          <w:szCs w:val="22"/>
          <w:lang w:eastAsia="en-US" w:bidi="en-US"/>
        </w:rPr>
        <w:t xml:space="preserve"> once a condition of release has been met</w:t>
      </w:r>
      <w:r w:rsidRPr="004D26B5">
        <w:rPr>
          <w:rFonts w:ascii="Arial" w:hAnsi="Arial" w:cs="Arial"/>
          <w:color w:val="696969"/>
          <w:sz w:val="20"/>
          <w:szCs w:val="22"/>
          <w:lang w:eastAsia="en-US" w:bidi="en-US"/>
        </w:rPr>
        <w:t>.</w:t>
      </w:r>
      <w:r w:rsidR="006016C6" w:rsidRPr="004D26B5">
        <w:rPr>
          <w:rFonts w:ascii="Arial" w:hAnsi="Arial" w:cs="Arial"/>
          <w:color w:val="696969"/>
          <w:sz w:val="20"/>
          <w:szCs w:val="22"/>
          <w:lang w:eastAsia="en-US" w:bidi="en-US"/>
        </w:rPr>
        <w:t xml:space="preserve">  The Institute believes that the ability to purchase DLAs with non-superannuation monies </w:t>
      </w:r>
      <w:r w:rsidR="00523169">
        <w:rPr>
          <w:rFonts w:ascii="Arial" w:hAnsi="Arial" w:cs="Arial"/>
          <w:color w:val="696969"/>
          <w:sz w:val="20"/>
          <w:szCs w:val="22"/>
          <w:lang w:eastAsia="en-US" w:bidi="en-US"/>
        </w:rPr>
        <w:t xml:space="preserve">would be counter-productive to </w:t>
      </w:r>
      <w:r w:rsidR="00A459EB">
        <w:rPr>
          <w:rFonts w:ascii="Arial" w:hAnsi="Arial" w:cs="Arial"/>
          <w:color w:val="696969"/>
          <w:sz w:val="20"/>
          <w:szCs w:val="22"/>
          <w:lang w:eastAsia="en-US" w:bidi="en-US"/>
        </w:rPr>
        <w:t>current</w:t>
      </w:r>
      <w:r w:rsidR="00523169">
        <w:rPr>
          <w:rFonts w:ascii="Arial" w:hAnsi="Arial" w:cs="Arial"/>
          <w:color w:val="696969"/>
          <w:sz w:val="20"/>
          <w:szCs w:val="22"/>
          <w:lang w:eastAsia="en-US" w:bidi="en-US"/>
        </w:rPr>
        <w:t xml:space="preserve"> </w:t>
      </w:r>
      <w:r w:rsidR="00523169" w:rsidRPr="004D26B5">
        <w:rPr>
          <w:rFonts w:ascii="Arial" w:eastAsia="Calibri" w:hAnsi="Arial" w:cs="Arial"/>
          <w:color w:val="696969"/>
          <w:sz w:val="20"/>
          <w:szCs w:val="22"/>
          <w:lang w:eastAsia="en-US" w:bidi="en-US"/>
        </w:rPr>
        <w:t>policy intentions of the superannuation system</w:t>
      </w:r>
      <w:r w:rsidR="00523169">
        <w:rPr>
          <w:rFonts w:ascii="Arial" w:hAnsi="Arial" w:cs="Arial"/>
          <w:color w:val="696969"/>
          <w:sz w:val="20"/>
          <w:szCs w:val="22"/>
          <w:lang w:eastAsia="en-US" w:bidi="en-US"/>
        </w:rPr>
        <w:t xml:space="preserve"> by encouraging individuals to keep money outside of </w:t>
      </w:r>
      <w:r w:rsidR="00A459EB">
        <w:rPr>
          <w:rFonts w:ascii="Arial" w:hAnsi="Arial" w:cs="Arial"/>
          <w:color w:val="696969"/>
          <w:sz w:val="20"/>
          <w:szCs w:val="22"/>
          <w:lang w:eastAsia="en-US" w:bidi="en-US"/>
        </w:rPr>
        <w:t>the system</w:t>
      </w:r>
      <w:r w:rsidR="00523169">
        <w:rPr>
          <w:rFonts w:ascii="Arial" w:hAnsi="Arial" w:cs="Arial"/>
          <w:color w:val="696969"/>
          <w:sz w:val="20"/>
          <w:szCs w:val="22"/>
          <w:lang w:eastAsia="en-US" w:bidi="en-US"/>
        </w:rPr>
        <w:t xml:space="preserve"> in the accumulation phase.</w:t>
      </w:r>
    </w:p>
    <w:p w:rsidR="006946EA" w:rsidRPr="00B429E2" w:rsidRDefault="00B255D5" w:rsidP="00B255D5">
      <w:pPr>
        <w:rPr>
          <w:rFonts w:asciiTheme="minorHAnsi" w:hAnsiTheme="minorHAnsi" w:cs="Arial"/>
          <w:i/>
          <w:color w:val="696969"/>
          <w:sz w:val="22"/>
          <w:szCs w:val="22"/>
          <w:lang w:val="en-AU" w:eastAsia="en-AU"/>
        </w:rPr>
      </w:pPr>
      <w:r w:rsidRPr="00B429E2">
        <w:rPr>
          <w:rFonts w:asciiTheme="minorHAnsi" w:hAnsiTheme="minorHAnsi"/>
          <w:b/>
          <w:i/>
          <w:sz w:val="22"/>
          <w:szCs w:val="22"/>
        </w:rPr>
        <w:t>Question 7:</w:t>
      </w:r>
      <w:r w:rsidRPr="00B429E2">
        <w:rPr>
          <w:rFonts w:asciiTheme="minorHAnsi" w:hAnsiTheme="minorHAnsi"/>
          <w:i/>
          <w:sz w:val="22"/>
          <w:szCs w:val="22"/>
        </w:rPr>
        <w:t xml:space="preserve"> Should there be an upper limit on the amount that can be invested in a deferred lifetime annuity?</w:t>
      </w:r>
    </w:p>
    <w:p w:rsidR="006946EA" w:rsidRPr="009B3803" w:rsidRDefault="006946EA" w:rsidP="002861E4">
      <w:pPr>
        <w:rPr>
          <w:rFonts w:asciiTheme="minorHAnsi" w:hAnsiTheme="minorHAnsi" w:cs="Arial"/>
          <w:color w:val="696969"/>
          <w:sz w:val="22"/>
          <w:szCs w:val="22"/>
          <w:lang w:val="en-AU" w:eastAsia="en-AU"/>
        </w:rPr>
      </w:pPr>
    </w:p>
    <w:p w:rsidR="009B3803" w:rsidRPr="004D26B5" w:rsidRDefault="00AF7A74" w:rsidP="004D26B5">
      <w:pPr>
        <w:pStyle w:val="BoxText"/>
        <w:rPr>
          <w:rFonts w:ascii="Arial" w:hAnsi="Arial" w:cs="Arial"/>
          <w:color w:val="696969"/>
          <w:sz w:val="20"/>
          <w:szCs w:val="22"/>
          <w:lang w:eastAsia="en-US" w:bidi="en-US"/>
        </w:rPr>
      </w:pPr>
      <w:r w:rsidRPr="004D26B5">
        <w:rPr>
          <w:rFonts w:ascii="Arial" w:hAnsi="Arial" w:cs="Arial"/>
          <w:color w:val="696969"/>
          <w:sz w:val="20"/>
          <w:szCs w:val="22"/>
          <w:lang w:eastAsia="en-US" w:bidi="en-US"/>
        </w:rPr>
        <w:t xml:space="preserve">It is the view of the Institute of Public Accountants that there should be an upper limit on the amount that can be invested in a DLA.  The Institute recommends that the upper limit be </w:t>
      </w:r>
      <w:r w:rsidR="00C36273">
        <w:rPr>
          <w:rFonts w:ascii="Arial" w:hAnsi="Arial" w:cs="Arial"/>
          <w:color w:val="696969"/>
          <w:sz w:val="20"/>
          <w:szCs w:val="22"/>
          <w:lang w:eastAsia="en-US" w:bidi="en-US"/>
        </w:rPr>
        <w:t>the time that will elapse from the commencement of the DLA to the end of the maximum deferral period expressed as a percentage of the maximum deferral period (refer to our response to question 9).  For example, if a DLA is invested to commence in 10 years and the maximum deferral period is calculated as 25 years then the upper limit on the amount that can be invested in a DLA should be 15/25, that is 60 per cent, of the total superannuation monies available at date of purchase.</w:t>
      </w:r>
    </w:p>
    <w:p w:rsidR="00B255D5" w:rsidRPr="00B429E2" w:rsidRDefault="00B255D5" w:rsidP="00B255D5">
      <w:pPr>
        <w:pStyle w:val="BoxText"/>
        <w:rPr>
          <w:i/>
          <w:szCs w:val="22"/>
        </w:rPr>
      </w:pPr>
      <w:r w:rsidRPr="00B429E2">
        <w:rPr>
          <w:b/>
          <w:i/>
          <w:szCs w:val="22"/>
        </w:rPr>
        <w:t>Question 8:</w:t>
      </w:r>
      <w:r w:rsidRPr="00B429E2">
        <w:rPr>
          <w:i/>
          <w:szCs w:val="22"/>
        </w:rPr>
        <w:t xml:space="preserve"> Should there be a minimum deferral period for a DLA? If so, what would determine the period?</w:t>
      </w:r>
    </w:p>
    <w:p w:rsidR="009B3803" w:rsidRPr="009B3803" w:rsidRDefault="00921FE5" w:rsidP="00B255D5">
      <w:pPr>
        <w:pStyle w:val="BoxText"/>
        <w:rPr>
          <w:szCs w:val="22"/>
        </w:rPr>
      </w:pPr>
      <w:r w:rsidRPr="004D26B5">
        <w:rPr>
          <w:rFonts w:ascii="Arial" w:hAnsi="Arial" w:cs="Arial"/>
          <w:color w:val="696969"/>
          <w:sz w:val="20"/>
          <w:szCs w:val="22"/>
          <w:lang w:eastAsia="en-US" w:bidi="en-US"/>
        </w:rPr>
        <w:t>It is the view of the Institute of Public Accountants that there should be a minimum deferral period for a DLA.  The Institute recommends that the minimum deferral period be expressed as the shorter of 20 years or the number of years to the person’s life expectancy (as determined by reference to the Australian Life Tables).</w:t>
      </w:r>
    </w:p>
    <w:p w:rsidR="006946EA" w:rsidRPr="00B429E2" w:rsidRDefault="00B255D5" w:rsidP="00B255D5">
      <w:pPr>
        <w:rPr>
          <w:rFonts w:asciiTheme="minorHAnsi" w:hAnsiTheme="minorHAnsi" w:cs="Arial"/>
          <w:i/>
          <w:color w:val="696969"/>
          <w:sz w:val="22"/>
          <w:szCs w:val="22"/>
          <w:lang w:val="en-AU" w:eastAsia="en-AU"/>
        </w:rPr>
      </w:pPr>
      <w:r w:rsidRPr="00B429E2">
        <w:rPr>
          <w:rFonts w:asciiTheme="minorHAnsi" w:hAnsiTheme="minorHAnsi"/>
          <w:b/>
          <w:i/>
          <w:sz w:val="22"/>
          <w:szCs w:val="22"/>
        </w:rPr>
        <w:t>Question 9:</w:t>
      </w:r>
      <w:r w:rsidRPr="00B429E2">
        <w:rPr>
          <w:rFonts w:asciiTheme="minorHAnsi" w:hAnsiTheme="minorHAnsi"/>
          <w:i/>
          <w:sz w:val="22"/>
          <w:szCs w:val="22"/>
        </w:rPr>
        <w:t xml:space="preserve"> Should there be a maximum deferral age or period? If so, what should it be?</w:t>
      </w:r>
    </w:p>
    <w:p w:rsidR="006946EA" w:rsidRPr="009B3803" w:rsidRDefault="006946EA" w:rsidP="002861E4">
      <w:pPr>
        <w:rPr>
          <w:rFonts w:asciiTheme="minorHAnsi" w:hAnsiTheme="minorHAnsi" w:cs="Arial"/>
          <w:color w:val="696969"/>
          <w:sz w:val="22"/>
          <w:szCs w:val="22"/>
          <w:lang w:val="en-AU" w:eastAsia="en-AU"/>
        </w:rPr>
      </w:pPr>
    </w:p>
    <w:p w:rsidR="006946EA" w:rsidRPr="009B3803" w:rsidRDefault="00E75510" w:rsidP="00A93C49">
      <w:pPr>
        <w:pStyle w:val="BoxText"/>
        <w:rPr>
          <w:rFonts w:cs="Arial"/>
          <w:color w:val="696969"/>
          <w:szCs w:val="22"/>
        </w:rPr>
      </w:pPr>
      <w:r w:rsidRPr="004D26B5">
        <w:rPr>
          <w:rFonts w:ascii="Arial" w:hAnsi="Arial" w:cs="Arial"/>
          <w:color w:val="696969"/>
          <w:sz w:val="20"/>
          <w:szCs w:val="22"/>
          <w:lang w:eastAsia="en-US" w:bidi="en-US"/>
        </w:rPr>
        <w:t xml:space="preserve">It is the view of the Institute of Public Accountants that there should be a maximum deferral period for a DLA.  The Institute recommends that the maximum deferral period be expressed as the </w:t>
      </w:r>
      <w:r w:rsidR="00A93C49">
        <w:rPr>
          <w:rFonts w:ascii="Arial" w:hAnsi="Arial" w:cs="Arial"/>
          <w:color w:val="696969"/>
          <w:sz w:val="20"/>
          <w:szCs w:val="22"/>
          <w:lang w:eastAsia="en-US" w:bidi="en-US"/>
        </w:rPr>
        <w:t>greater</w:t>
      </w:r>
      <w:r w:rsidRPr="004D26B5">
        <w:rPr>
          <w:rFonts w:ascii="Arial" w:hAnsi="Arial" w:cs="Arial"/>
          <w:color w:val="696969"/>
          <w:sz w:val="20"/>
          <w:szCs w:val="22"/>
          <w:lang w:eastAsia="en-US" w:bidi="en-US"/>
        </w:rPr>
        <w:t xml:space="preserve"> of 30 years or the </w:t>
      </w:r>
      <w:r w:rsidR="00A459EB">
        <w:rPr>
          <w:rFonts w:ascii="Arial" w:hAnsi="Arial" w:cs="Arial"/>
          <w:color w:val="696969"/>
          <w:sz w:val="20"/>
          <w:szCs w:val="22"/>
          <w:lang w:eastAsia="en-US" w:bidi="en-US"/>
        </w:rPr>
        <w:t xml:space="preserve">period </w:t>
      </w:r>
      <w:r w:rsidRPr="004D26B5">
        <w:rPr>
          <w:rFonts w:ascii="Arial" w:hAnsi="Arial" w:cs="Arial"/>
          <w:color w:val="696969"/>
          <w:sz w:val="20"/>
          <w:szCs w:val="22"/>
          <w:lang w:eastAsia="en-US" w:bidi="en-US"/>
        </w:rPr>
        <w:t>up to ten years past the person’s life expectancy (as determined by reference to the Australian Life Tables).</w:t>
      </w:r>
      <w:r w:rsidR="00A459EB">
        <w:rPr>
          <w:rFonts w:ascii="Arial" w:hAnsi="Arial" w:cs="Arial"/>
          <w:color w:val="696969"/>
          <w:sz w:val="20"/>
          <w:szCs w:val="22"/>
          <w:lang w:eastAsia="en-US" w:bidi="en-US"/>
        </w:rPr>
        <w:t xml:space="preserve"> In other words, the Institute recommends a maximum deferral period of ten years </w:t>
      </w:r>
      <w:r w:rsidR="00A93C49">
        <w:rPr>
          <w:rFonts w:ascii="Arial" w:hAnsi="Arial" w:cs="Arial"/>
          <w:color w:val="696969"/>
          <w:sz w:val="20"/>
          <w:szCs w:val="22"/>
          <w:lang w:eastAsia="en-US" w:bidi="en-US"/>
        </w:rPr>
        <w:t>longer than the minimum deferral period.</w:t>
      </w:r>
    </w:p>
    <w:p w:rsidR="006946EA" w:rsidRPr="00B429E2" w:rsidRDefault="00B255D5" w:rsidP="00E0370E">
      <w:pPr>
        <w:jc w:val="both"/>
        <w:rPr>
          <w:rFonts w:asciiTheme="minorHAnsi" w:hAnsiTheme="minorHAnsi" w:cs="Arial"/>
          <w:i/>
          <w:color w:val="696969"/>
          <w:sz w:val="22"/>
          <w:szCs w:val="22"/>
          <w:lang w:val="en-AU" w:eastAsia="en-AU"/>
        </w:rPr>
      </w:pPr>
      <w:r w:rsidRPr="00B429E2">
        <w:rPr>
          <w:rFonts w:asciiTheme="minorHAnsi" w:hAnsiTheme="minorHAnsi"/>
          <w:b/>
          <w:i/>
          <w:sz w:val="22"/>
          <w:szCs w:val="22"/>
        </w:rPr>
        <w:t>Question 10:</w:t>
      </w:r>
      <w:r w:rsidRPr="00B429E2">
        <w:rPr>
          <w:rFonts w:asciiTheme="minorHAnsi" w:hAnsiTheme="minorHAnsi"/>
          <w:i/>
          <w:sz w:val="22"/>
          <w:szCs w:val="22"/>
        </w:rPr>
        <w:t xml:space="preserve"> Do the payment features described in paragraphs 51 and 52 strike the right balance in allowing people to insure against longevity risk while avoiding unnecessary restrictions on product development?</w:t>
      </w:r>
    </w:p>
    <w:p w:rsidR="006946EA" w:rsidRDefault="006946EA" w:rsidP="002861E4">
      <w:pPr>
        <w:rPr>
          <w:rFonts w:ascii="Arial" w:hAnsi="Arial" w:cs="Arial"/>
          <w:color w:val="696969"/>
          <w:sz w:val="20"/>
          <w:szCs w:val="20"/>
          <w:lang w:val="en-AU" w:eastAsia="en-AU"/>
        </w:rPr>
      </w:pPr>
    </w:p>
    <w:p w:rsidR="006946EA" w:rsidRDefault="00EF1070" w:rsidP="00C36273">
      <w:pPr>
        <w:pStyle w:val="BoxText"/>
        <w:rPr>
          <w:rFonts w:ascii="Arial" w:hAnsi="Arial" w:cs="Arial"/>
          <w:color w:val="696969"/>
          <w:sz w:val="20"/>
        </w:rPr>
      </w:pPr>
      <w:r w:rsidRPr="004D26B5">
        <w:rPr>
          <w:rFonts w:ascii="Arial" w:hAnsi="Arial" w:cs="Arial"/>
          <w:color w:val="696969"/>
          <w:sz w:val="20"/>
          <w:szCs w:val="22"/>
          <w:lang w:eastAsia="en-US" w:bidi="en-US"/>
        </w:rPr>
        <w:t>The payment features described in paragraphs 51 and 52 in relation to commutability and annuity payments appear to provide an appropriate balance in allowing people to insure against longevity risk while avoiding too many restrictions on product development.  The Institute</w:t>
      </w:r>
      <w:r w:rsidR="00C36273">
        <w:rPr>
          <w:rFonts w:ascii="Arial" w:hAnsi="Arial" w:cs="Arial"/>
          <w:color w:val="696969"/>
          <w:sz w:val="20"/>
          <w:szCs w:val="22"/>
          <w:lang w:eastAsia="en-US" w:bidi="en-US"/>
        </w:rPr>
        <w:t xml:space="preserve"> </w:t>
      </w:r>
      <w:r w:rsidR="00C36273" w:rsidRPr="004D26B5">
        <w:rPr>
          <w:rFonts w:ascii="Arial" w:hAnsi="Arial" w:cs="Arial"/>
          <w:color w:val="696969"/>
          <w:sz w:val="20"/>
          <w:szCs w:val="22"/>
          <w:lang w:eastAsia="en-US" w:bidi="en-US"/>
        </w:rPr>
        <w:t xml:space="preserve">encourage the </w:t>
      </w:r>
      <w:r w:rsidR="00C36273">
        <w:rPr>
          <w:rFonts w:ascii="Arial" w:hAnsi="Arial" w:cs="Arial"/>
          <w:color w:val="696969"/>
          <w:sz w:val="20"/>
          <w:szCs w:val="22"/>
          <w:lang w:eastAsia="en-US" w:bidi="en-US"/>
        </w:rPr>
        <w:t>limitation</w:t>
      </w:r>
      <w:r w:rsidR="00C36273" w:rsidRPr="004D26B5">
        <w:rPr>
          <w:rFonts w:ascii="Arial" w:hAnsi="Arial" w:cs="Arial"/>
          <w:color w:val="696969"/>
          <w:sz w:val="20"/>
          <w:szCs w:val="22"/>
          <w:lang w:eastAsia="en-US" w:bidi="en-US"/>
        </w:rPr>
        <w:t xml:space="preserve"> of </w:t>
      </w:r>
      <w:r w:rsidR="00C36273">
        <w:rPr>
          <w:rFonts w:ascii="Arial" w:hAnsi="Arial" w:cs="Arial"/>
          <w:color w:val="696969"/>
          <w:sz w:val="20"/>
          <w:szCs w:val="22"/>
          <w:lang w:eastAsia="en-US" w:bidi="en-US"/>
        </w:rPr>
        <w:lastRenderedPageBreak/>
        <w:t xml:space="preserve">the number of </w:t>
      </w:r>
      <w:r w:rsidR="00C36273" w:rsidRPr="004D26B5">
        <w:rPr>
          <w:rFonts w:ascii="Arial" w:hAnsi="Arial" w:cs="Arial"/>
          <w:color w:val="696969"/>
          <w:sz w:val="20"/>
          <w:szCs w:val="22"/>
          <w:lang w:eastAsia="en-US" w:bidi="en-US"/>
        </w:rPr>
        <w:t xml:space="preserve">impediments to </w:t>
      </w:r>
      <w:r w:rsidR="00C36273">
        <w:rPr>
          <w:rFonts w:ascii="Arial" w:hAnsi="Arial" w:cs="Arial"/>
          <w:color w:val="696969"/>
          <w:sz w:val="20"/>
          <w:szCs w:val="22"/>
          <w:lang w:eastAsia="en-US" w:bidi="en-US"/>
        </w:rPr>
        <w:t>assist with the development of</w:t>
      </w:r>
      <w:r w:rsidR="00C36273" w:rsidRPr="004D26B5">
        <w:rPr>
          <w:rFonts w:ascii="Arial" w:hAnsi="Arial" w:cs="Arial"/>
          <w:color w:val="696969"/>
          <w:sz w:val="20"/>
          <w:szCs w:val="22"/>
          <w:lang w:eastAsia="en-US" w:bidi="en-US"/>
        </w:rPr>
        <w:t xml:space="preserve"> viable annuities and other long-term retirement income streams.</w:t>
      </w:r>
      <w:r w:rsidR="00C36273">
        <w:rPr>
          <w:rFonts w:ascii="Arial" w:hAnsi="Arial" w:cs="Arial"/>
          <w:color w:val="696969"/>
          <w:sz w:val="20"/>
          <w:szCs w:val="22"/>
          <w:lang w:eastAsia="en-US" w:bidi="en-US"/>
        </w:rPr>
        <w:t xml:space="preserve"> </w:t>
      </w:r>
    </w:p>
    <w:p w:rsidR="002D4D67" w:rsidRPr="00B429E2" w:rsidRDefault="002D4D67" w:rsidP="00E0370E">
      <w:pPr>
        <w:jc w:val="both"/>
        <w:rPr>
          <w:rFonts w:asciiTheme="minorHAnsi" w:hAnsiTheme="minorHAnsi"/>
          <w:i/>
          <w:sz w:val="22"/>
          <w:szCs w:val="22"/>
        </w:rPr>
      </w:pPr>
      <w:r w:rsidRPr="00B429E2">
        <w:rPr>
          <w:rFonts w:asciiTheme="minorHAnsi" w:hAnsiTheme="minorHAnsi"/>
          <w:b/>
          <w:i/>
          <w:sz w:val="22"/>
          <w:szCs w:val="22"/>
        </w:rPr>
        <w:t>Question 11:</w:t>
      </w:r>
      <w:r w:rsidRPr="00B429E2">
        <w:rPr>
          <w:rFonts w:asciiTheme="minorHAnsi" w:hAnsiTheme="minorHAnsi"/>
          <w:i/>
          <w:sz w:val="22"/>
          <w:szCs w:val="22"/>
        </w:rPr>
        <w:t xml:space="preserve"> Should providers of DLAs be able to offer a death benefit? If so, should there be restrictions on the size of the death benefit that could be offered? If so, what restrictions?</w:t>
      </w:r>
    </w:p>
    <w:p w:rsidR="002D4D67" w:rsidRDefault="002D4D67" w:rsidP="002D4D67">
      <w:pPr>
        <w:rPr>
          <w:rFonts w:asciiTheme="minorHAnsi" w:hAnsiTheme="minorHAnsi"/>
          <w:i/>
          <w:sz w:val="22"/>
          <w:szCs w:val="22"/>
        </w:rPr>
      </w:pPr>
    </w:p>
    <w:p w:rsidR="00A93C49" w:rsidRDefault="002D4D67" w:rsidP="004D26B5">
      <w:pPr>
        <w:pStyle w:val="BoxText"/>
        <w:rPr>
          <w:rFonts w:ascii="Arial" w:hAnsi="Arial" w:cs="Arial"/>
          <w:color w:val="696969"/>
          <w:sz w:val="20"/>
          <w:szCs w:val="22"/>
          <w:lang w:eastAsia="en-US" w:bidi="en-US"/>
        </w:rPr>
      </w:pPr>
      <w:r w:rsidRPr="004D26B5">
        <w:rPr>
          <w:rFonts w:ascii="Arial" w:hAnsi="Arial" w:cs="Arial"/>
          <w:color w:val="696969"/>
          <w:sz w:val="20"/>
          <w:szCs w:val="22"/>
          <w:lang w:eastAsia="en-US" w:bidi="en-US"/>
        </w:rPr>
        <w:t xml:space="preserve">It is the view of the Institute of Public Accountants that providers of DLAs be able to offer a death benefit as this addresses an impediment for people being concerned about purchasing these products several years in advance. Research indicates that those individuals that are </w:t>
      </w:r>
      <w:r w:rsidR="00A93C49">
        <w:rPr>
          <w:rFonts w:ascii="Arial" w:hAnsi="Arial" w:cs="Arial"/>
          <w:color w:val="696969"/>
          <w:sz w:val="20"/>
          <w:szCs w:val="22"/>
          <w:lang w:eastAsia="en-US" w:bidi="en-US"/>
        </w:rPr>
        <w:t xml:space="preserve">conservative when predicting their own life expectancy.  That is, on average individuals expect that they will die before their life expectancy as determined by the Australian Life Tables. With this pessimist outlook of their life expectancy, it is not unexpected that individuals would be cautious in purchasing products which do not offer a death benefit to their estate.  </w:t>
      </w:r>
    </w:p>
    <w:p w:rsidR="009B3803" w:rsidRDefault="002D4D67" w:rsidP="00A93C49">
      <w:pPr>
        <w:pStyle w:val="BoxText"/>
        <w:rPr>
          <w:rFonts w:ascii="Arial" w:hAnsi="Arial" w:cs="Arial"/>
          <w:color w:val="696969"/>
          <w:sz w:val="20"/>
        </w:rPr>
      </w:pPr>
      <w:r w:rsidRPr="004D26B5">
        <w:rPr>
          <w:rFonts w:ascii="Arial" w:hAnsi="Arial" w:cs="Arial"/>
          <w:color w:val="696969"/>
          <w:sz w:val="20"/>
          <w:szCs w:val="22"/>
          <w:lang w:eastAsia="en-US" w:bidi="en-US"/>
        </w:rPr>
        <w:t>The Institute recommends that there should be a limit on the size of a death benefit with it not exceeding the original purchase price of the product less the total of all, if any, payments paid to the holder.  Such a measure would act as a deterrent for those considering using DLAs for the primary estate planning purpose of compounding tax-free investment returns in the deferral phase.</w:t>
      </w:r>
    </w:p>
    <w:p w:rsidR="009B3803" w:rsidRDefault="009B3803" w:rsidP="002861E4">
      <w:pPr>
        <w:rPr>
          <w:rFonts w:ascii="Arial" w:hAnsi="Arial" w:cs="Arial"/>
          <w:color w:val="696969"/>
          <w:sz w:val="20"/>
          <w:szCs w:val="20"/>
          <w:lang w:val="en-AU" w:eastAsia="en-AU"/>
        </w:rPr>
      </w:pPr>
    </w:p>
    <w:p w:rsidR="009B3803" w:rsidRDefault="009B3803" w:rsidP="002861E4">
      <w:pPr>
        <w:rPr>
          <w:rFonts w:ascii="Arial" w:hAnsi="Arial" w:cs="Arial"/>
          <w:color w:val="696969"/>
          <w:sz w:val="20"/>
          <w:szCs w:val="20"/>
          <w:lang w:val="en-AU" w:eastAsia="en-AU"/>
        </w:rPr>
      </w:pPr>
    </w:p>
    <w:p w:rsidR="00F87307" w:rsidRPr="009B3803" w:rsidRDefault="00F87307" w:rsidP="00F30F75">
      <w:pPr>
        <w:pStyle w:val="IPAHeading"/>
        <w:ind w:right="-434"/>
        <w:rPr>
          <w:rFonts w:asciiTheme="minorHAnsi" w:hAnsiTheme="minorHAnsi"/>
          <w:color w:val="696969"/>
          <w:sz w:val="22"/>
          <w:szCs w:val="22"/>
          <w:lang w:val="en-AU" w:eastAsia="en-AU"/>
        </w:rPr>
      </w:pPr>
      <w:bookmarkStart w:id="13" w:name="_Toc397555053"/>
      <w:bookmarkEnd w:id="10"/>
      <w:bookmarkEnd w:id="11"/>
      <w:r>
        <w:t>3.0 The minimum payment amounts for account-based income streams</w:t>
      </w:r>
      <w:bookmarkEnd w:id="13"/>
    </w:p>
    <w:p w:rsidR="00DF4926" w:rsidRPr="00056F73" w:rsidRDefault="00DF4926" w:rsidP="002861E4">
      <w:pPr>
        <w:rPr>
          <w:rFonts w:ascii="Arial" w:hAnsi="Arial" w:cs="Arial"/>
          <w:b/>
          <w:sz w:val="28"/>
          <w:szCs w:val="28"/>
          <w:lang w:val="en-AU"/>
        </w:rPr>
      </w:pPr>
    </w:p>
    <w:p w:rsidR="00F87307" w:rsidRPr="00B429E2" w:rsidRDefault="00F87307" w:rsidP="00E0370E">
      <w:pPr>
        <w:jc w:val="both"/>
        <w:rPr>
          <w:rFonts w:asciiTheme="minorHAnsi" w:hAnsiTheme="minorHAnsi"/>
          <w:i/>
          <w:sz w:val="22"/>
          <w:szCs w:val="22"/>
        </w:rPr>
      </w:pPr>
      <w:bookmarkStart w:id="14" w:name="BM27"/>
      <w:bookmarkEnd w:id="14"/>
      <w:r w:rsidRPr="00B429E2">
        <w:rPr>
          <w:rFonts w:asciiTheme="minorHAnsi" w:hAnsiTheme="minorHAnsi"/>
          <w:b/>
          <w:i/>
          <w:sz w:val="22"/>
          <w:szCs w:val="22"/>
        </w:rPr>
        <w:t>Question 12:</w:t>
      </w:r>
      <w:r w:rsidRPr="00B429E2">
        <w:rPr>
          <w:rFonts w:asciiTheme="minorHAnsi" w:hAnsiTheme="minorHAnsi"/>
          <w:i/>
          <w:sz w:val="22"/>
          <w:szCs w:val="22"/>
        </w:rPr>
        <w:t xml:space="preserve"> Are the current minimum payment amounts for account</w:t>
      </w:r>
      <w:r w:rsidRPr="00B429E2">
        <w:rPr>
          <w:rFonts w:asciiTheme="minorHAnsi" w:hAnsiTheme="minorHAnsi"/>
          <w:i/>
          <w:sz w:val="22"/>
          <w:szCs w:val="22"/>
        </w:rPr>
        <w:noBreakHyphen/>
      </w:r>
      <w:proofErr w:type="spellStart"/>
      <w:r w:rsidRPr="00B429E2">
        <w:rPr>
          <w:rFonts w:asciiTheme="minorHAnsi" w:hAnsiTheme="minorHAnsi"/>
          <w:i/>
          <w:sz w:val="22"/>
          <w:szCs w:val="22"/>
        </w:rPr>
        <w:t>based</w:t>
      </w:r>
      <w:proofErr w:type="spellEnd"/>
      <w:r w:rsidRPr="00B429E2">
        <w:rPr>
          <w:rFonts w:asciiTheme="minorHAnsi" w:hAnsiTheme="minorHAnsi"/>
          <w:i/>
          <w:sz w:val="22"/>
          <w:szCs w:val="22"/>
        </w:rPr>
        <w:t xml:space="preserve"> products appropriate to achieve the objectives outlined above, given financial conditions can change?</w:t>
      </w:r>
    </w:p>
    <w:p w:rsidR="00F87307" w:rsidRPr="00B255D5" w:rsidRDefault="00F87307" w:rsidP="00F87307">
      <w:pPr>
        <w:rPr>
          <w:rFonts w:asciiTheme="minorHAnsi" w:hAnsiTheme="minorHAnsi"/>
          <w:sz w:val="22"/>
          <w:szCs w:val="22"/>
        </w:rPr>
      </w:pPr>
    </w:p>
    <w:p w:rsidR="00E0370E" w:rsidRDefault="00FE5D6B" w:rsidP="00E0370E">
      <w:pPr>
        <w:pStyle w:val="ListParagraph"/>
        <w:spacing w:after="0"/>
        <w:ind w:left="0"/>
        <w:contextualSpacing w:val="0"/>
        <w:jc w:val="both"/>
        <w:rPr>
          <w:rFonts w:ascii="Arial" w:hAnsi="Arial" w:cs="Arial"/>
          <w:color w:val="696969"/>
          <w:sz w:val="20"/>
          <w:lang w:bidi="en-US"/>
        </w:rPr>
      </w:pPr>
      <w:r w:rsidRPr="004D26B5">
        <w:rPr>
          <w:rFonts w:ascii="Arial" w:hAnsi="Arial" w:cs="Arial"/>
          <w:color w:val="696969"/>
          <w:sz w:val="20"/>
          <w:lang w:bidi="en-US"/>
        </w:rPr>
        <w:t xml:space="preserve">It is the view of the Institute of Public Accountants that the current minimum payments amounts for account-based products are not appropriate to achieve the objectives outlined in the </w:t>
      </w:r>
      <w:r w:rsidR="004A2E29" w:rsidRPr="004D26B5">
        <w:rPr>
          <w:rFonts w:ascii="Arial" w:hAnsi="Arial" w:cs="Arial"/>
          <w:color w:val="696969"/>
          <w:sz w:val="20"/>
          <w:lang w:bidi="en-US"/>
        </w:rPr>
        <w:t xml:space="preserve">Treasury’s </w:t>
      </w:r>
      <w:r w:rsidRPr="004D26B5">
        <w:rPr>
          <w:rFonts w:ascii="Arial" w:hAnsi="Arial" w:cs="Arial"/>
          <w:color w:val="696969"/>
          <w:sz w:val="20"/>
          <w:lang w:bidi="en-US"/>
        </w:rPr>
        <w:t xml:space="preserve">discussion paper given that financial conditions can change.  Since its introduction in 2007, there have been five financial years (out of </w:t>
      </w:r>
      <w:r w:rsidR="00E0370E">
        <w:rPr>
          <w:rFonts w:ascii="Arial" w:hAnsi="Arial" w:cs="Arial"/>
          <w:color w:val="696969"/>
          <w:sz w:val="20"/>
          <w:lang w:bidi="en-US"/>
        </w:rPr>
        <w:t xml:space="preserve">the past </w:t>
      </w:r>
      <w:r w:rsidRPr="004D26B5">
        <w:rPr>
          <w:rFonts w:ascii="Arial" w:hAnsi="Arial" w:cs="Arial"/>
          <w:color w:val="696969"/>
          <w:sz w:val="20"/>
          <w:lang w:bidi="en-US"/>
        </w:rPr>
        <w:t xml:space="preserve">seven), where drawdown relief has been afforded to pensioners.  Accordingly, </w:t>
      </w:r>
      <w:r w:rsidR="00E0370E">
        <w:rPr>
          <w:rFonts w:ascii="Arial" w:hAnsi="Arial" w:cs="Arial"/>
          <w:color w:val="696969"/>
          <w:sz w:val="20"/>
          <w:lang w:bidi="en-US"/>
        </w:rPr>
        <w:t>given</w:t>
      </w:r>
      <w:r w:rsidR="004E7A6A">
        <w:rPr>
          <w:rFonts w:ascii="Arial" w:hAnsi="Arial" w:cs="Arial"/>
          <w:color w:val="696969"/>
          <w:sz w:val="20"/>
          <w:lang w:bidi="en-US"/>
        </w:rPr>
        <w:t xml:space="preserve"> this</w:t>
      </w:r>
      <w:r w:rsidR="00E0370E">
        <w:rPr>
          <w:rFonts w:ascii="Arial" w:hAnsi="Arial" w:cs="Arial"/>
          <w:color w:val="696969"/>
          <w:sz w:val="20"/>
          <w:lang w:bidi="en-US"/>
        </w:rPr>
        <w:t xml:space="preserve"> majority</w:t>
      </w:r>
      <w:r w:rsidR="004E7A6A">
        <w:rPr>
          <w:rFonts w:ascii="Arial" w:hAnsi="Arial" w:cs="Arial"/>
          <w:color w:val="696969"/>
          <w:sz w:val="20"/>
          <w:lang w:bidi="en-US"/>
        </w:rPr>
        <w:t xml:space="preserve"> of years with drawdown relief</w:t>
      </w:r>
      <w:r w:rsidR="001E1E85">
        <w:rPr>
          <w:rFonts w:ascii="Arial" w:hAnsi="Arial" w:cs="Arial"/>
          <w:color w:val="696969"/>
          <w:sz w:val="20"/>
          <w:lang w:bidi="en-US"/>
        </w:rPr>
        <w:t xml:space="preserve"> has been afforded</w:t>
      </w:r>
      <w:r w:rsidR="004E7A6A">
        <w:rPr>
          <w:rFonts w:ascii="Arial" w:hAnsi="Arial" w:cs="Arial"/>
          <w:color w:val="696969"/>
          <w:sz w:val="20"/>
          <w:lang w:bidi="en-US"/>
        </w:rPr>
        <w:t>,</w:t>
      </w:r>
      <w:r w:rsidR="00E0370E">
        <w:rPr>
          <w:rFonts w:ascii="Arial" w:hAnsi="Arial" w:cs="Arial"/>
          <w:color w:val="696969"/>
          <w:sz w:val="20"/>
          <w:lang w:bidi="en-US"/>
        </w:rPr>
        <w:t xml:space="preserve"> </w:t>
      </w:r>
      <w:r w:rsidRPr="004D26B5">
        <w:rPr>
          <w:rFonts w:ascii="Arial" w:hAnsi="Arial" w:cs="Arial"/>
          <w:color w:val="696969"/>
          <w:sz w:val="20"/>
          <w:lang w:bidi="en-US"/>
        </w:rPr>
        <w:t xml:space="preserve">the Institute recommends that the </w:t>
      </w:r>
      <w:r w:rsidR="004E7A6A">
        <w:rPr>
          <w:rFonts w:ascii="Arial" w:hAnsi="Arial" w:cs="Arial"/>
          <w:color w:val="696969"/>
          <w:sz w:val="20"/>
          <w:lang w:bidi="en-US"/>
        </w:rPr>
        <w:t xml:space="preserve">current </w:t>
      </w:r>
      <w:r w:rsidRPr="004D26B5">
        <w:rPr>
          <w:rFonts w:ascii="Arial" w:hAnsi="Arial" w:cs="Arial"/>
          <w:color w:val="696969"/>
          <w:sz w:val="20"/>
          <w:lang w:bidi="en-US"/>
        </w:rPr>
        <w:t xml:space="preserve">minimum payment percentages for those receiving a pension be reduced.  </w:t>
      </w:r>
    </w:p>
    <w:p w:rsidR="00E0370E" w:rsidRDefault="00E0370E" w:rsidP="00E0370E">
      <w:pPr>
        <w:pStyle w:val="ListParagraph"/>
        <w:spacing w:after="0"/>
        <w:ind w:left="0"/>
        <w:contextualSpacing w:val="0"/>
        <w:rPr>
          <w:rFonts w:ascii="Arial" w:hAnsi="Arial" w:cs="Arial"/>
          <w:color w:val="696969"/>
          <w:sz w:val="20"/>
          <w:lang w:bidi="en-US"/>
        </w:rPr>
      </w:pPr>
    </w:p>
    <w:p w:rsidR="00222905" w:rsidRDefault="00222905" w:rsidP="00E0370E">
      <w:pPr>
        <w:pStyle w:val="ListParagraph"/>
        <w:spacing w:after="0"/>
        <w:ind w:left="0"/>
        <w:contextualSpacing w:val="0"/>
        <w:jc w:val="both"/>
        <w:rPr>
          <w:rFonts w:ascii="Arial" w:hAnsi="Arial" w:cs="Arial"/>
          <w:color w:val="696969"/>
          <w:sz w:val="20"/>
          <w:lang w:bidi="en-US"/>
        </w:rPr>
      </w:pPr>
      <w:r w:rsidRPr="004D26B5">
        <w:rPr>
          <w:rFonts w:ascii="Arial" w:hAnsi="Arial" w:cs="Arial"/>
          <w:color w:val="696969"/>
          <w:sz w:val="20"/>
          <w:lang w:bidi="en-US"/>
        </w:rPr>
        <w:t>Similar to the minimum payment percentages for 2011-12 and 2012-13, the Institute recommends that the minimum payment percentages should be set at 75% of current levels as shown in Table 3.1.</w:t>
      </w:r>
      <w:r w:rsidR="004C20D8">
        <w:rPr>
          <w:rFonts w:ascii="Arial" w:hAnsi="Arial" w:cs="Arial"/>
          <w:color w:val="696969"/>
          <w:sz w:val="20"/>
          <w:lang w:bidi="en-US"/>
        </w:rPr>
        <w:t xml:space="preserve"> </w:t>
      </w:r>
      <w:r w:rsidR="00911383">
        <w:rPr>
          <w:rFonts w:ascii="Arial" w:hAnsi="Arial" w:cs="Arial"/>
          <w:color w:val="696969"/>
          <w:sz w:val="20"/>
          <w:lang w:bidi="en-US"/>
        </w:rPr>
        <w:t xml:space="preserve">The Institute also recommends that the age for the first category be set to the qualifying age of the Age Pension as this will increase to age 67 </w:t>
      </w:r>
      <w:r w:rsidR="00E0370E">
        <w:rPr>
          <w:rFonts w:ascii="Arial" w:hAnsi="Arial" w:cs="Arial"/>
          <w:color w:val="696969"/>
          <w:sz w:val="20"/>
          <w:lang w:bidi="en-US"/>
        </w:rPr>
        <w:t xml:space="preserve">in 2027 </w:t>
      </w:r>
      <w:r w:rsidR="00911383">
        <w:rPr>
          <w:rFonts w:ascii="Arial" w:hAnsi="Arial" w:cs="Arial"/>
          <w:color w:val="696969"/>
          <w:sz w:val="20"/>
          <w:lang w:bidi="en-US"/>
        </w:rPr>
        <w:t>and subsequently age 70 by 2035.</w:t>
      </w:r>
    </w:p>
    <w:p w:rsidR="00E0370E" w:rsidRPr="004D26B5" w:rsidRDefault="00E0370E" w:rsidP="00E0370E">
      <w:pPr>
        <w:pStyle w:val="ListParagraph"/>
        <w:spacing w:after="0"/>
        <w:ind w:left="0"/>
        <w:contextualSpacing w:val="0"/>
        <w:jc w:val="both"/>
        <w:rPr>
          <w:rFonts w:ascii="Arial" w:hAnsi="Arial" w:cs="Arial"/>
          <w:color w:val="696969"/>
          <w:sz w:val="20"/>
          <w:lang w:bidi="en-US"/>
        </w:rPr>
      </w:pPr>
    </w:p>
    <w:p w:rsidR="00222905" w:rsidRPr="004C20D8" w:rsidRDefault="00222905" w:rsidP="006316CB">
      <w:pPr>
        <w:pStyle w:val="ListParagraph"/>
        <w:spacing w:after="0"/>
        <w:ind w:left="993" w:hanging="993"/>
        <w:contextualSpacing w:val="0"/>
        <w:rPr>
          <w:rFonts w:ascii="Arial" w:hAnsi="Arial" w:cs="Arial"/>
          <w:b/>
          <w:color w:val="696969"/>
          <w:sz w:val="20"/>
          <w:lang w:bidi="en-US"/>
        </w:rPr>
      </w:pPr>
      <w:r w:rsidRPr="004C20D8">
        <w:rPr>
          <w:rFonts w:ascii="Arial" w:hAnsi="Arial" w:cs="Arial"/>
          <w:b/>
          <w:color w:val="696969"/>
          <w:sz w:val="20"/>
          <w:lang w:bidi="en-US"/>
        </w:rPr>
        <w:t xml:space="preserve">Table 3.1: Proposed </w:t>
      </w:r>
      <w:r w:rsidR="006316CB">
        <w:rPr>
          <w:rFonts w:ascii="Arial" w:hAnsi="Arial" w:cs="Arial"/>
          <w:b/>
          <w:color w:val="696969"/>
          <w:sz w:val="20"/>
          <w:lang w:bidi="en-US"/>
        </w:rPr>
        <w:t>minimum</w:t>
      </w:r>
      <w:r w:rsidRPr="004C20D8">
        <w:rPr>
          <w:rFonts w:ascii="Arial" w:hAnsi="Arial" w:cs="Arial"/>
          <w:b/>
          <w:color w:val="696969"/>
          <w:sz w:val="20"/>
          <w:lang w:bidi="en-US"/>
        </w:rPr>
        <w:t xml:space="preserve"> payment percentages (based on current minimum payment percentages)</w:t>
      </w:r>
    </w:p>
    <w:tbl>
      <w:tblPr>
        <w:tblStyle w:val="TableGrid"/>
        <w:tblW w:w="0" w:type="auto"/>
        <w:tblLook w:val="04A0"/>
      </w:tblPr>
      <w:tblGrid>
        <w:gridCol w:w="3018"/>
        <w:gridCol w:w="3018"/>
        <w:gridCol w:w="3018"/>
      </w:tblGrid>
      <w:tr w:rsidR="00222905" w:rsidTr="00FC29E7">
        <w:tc>
          <w:tcPr>
            <w:tcW w:w="3018" w:type="dxa"/>
          </w:tcPr>
          <w:p w:rsidR="00222905" w:rsidRPr="0042258E" w:rsidRDefault="00222905" w:rsidP="00FC29E7">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Age</w:t>
            </w:r>
          </w:p>
        </w:tc>
        <w:tc>
          <w:tcPr>
            <w:tcW w:w="3018" w:type="dxa"/>
          </w:tcPr>
          <w:p w:rsidR="00222905" w:rsidRPr="0042258E" w:rsidRDefault="00222905" w:rsidP="00FC29E7">
            <w:pPr>
              <w:pStyle w:val="ListParagraph"/>
              <w:spacing w:after="0"/>
              <w:ind w:left="0"/>
              <w:contextualSpacing w:val="0"/>
              <w:jc w:val="center"/>
              <w:rPr>
                <w:rFonts w:ascii="Arial" w:hAnsi="Arial" w:cs="Arial"/>
                <w:b/>
                <w:color w:val="595959"/>
                <w:sz w:val="20"/>
                <w:szCs w:val="20"/>
              </w:rPr>
            </w:pPr>
            <w:r w:rsidRPr="0042258E">
              <w:rPr>
                <w:rFonts w:ascii="Arial" w:hAnsi="Arial" w:cs="Arial"/>
                <w:b/>
                <w:color w:val="595959"/>
                <w:sz w:val="20"/>
                <w:szCs w:val="20"/>
              </w:rPr>
              <w:t>Minimum payment percentage</w:t>
            </w:r>
          </w:p>
        </w:tc>
        <w:tc>
          <w:tcPr>
            <w:tcW w:w="3018" w:type="dxa"/>
          </w:tcPr>
          <w:p w:rsidR="00222905" w:rsidRPr="0042258E" w:rsidRDefault="00222905" w:rsidP="00222905">
            <w:pPr>
              <w:pStyle w:val="ListParagraph"/>
              <w:spacing w:after="0"/>
              <w:ind w:left="0"/>
              <w:contextualSpacing w:val="0"/>
              <w:jc w:val="center"/>
              <w:rPr>
                <w:rFonts w:ascii="Arial" w:hAnsi="Arial" w:cs="Arial"/>
                <w:b/>
                <w:color w:val="595959"/>
                <w:sz w:val="20"/>
                <w:szCs w:val="20"/>
              </w:rPr>
            </w:pPr>
            <w:r w:rsidRPr="0042258E">
              <w:rPr>
                <w:rFonts w:ascii="Arial" w:hAnsi="Arial" w:cs="Arial"/>
                <w:b/>
                <w:color w:val="595959"/>
                <w:sz w:val="20"/>
                <w:szCs w:val="20"/>
              </w:rPr>
              <w:t xml:space="preserve">Proposed </w:t>
            </w:r>
            <w:r>
              <w:rPr>
                <w:rFonts w:ascii="Arial" w:hAnsi="Arial" w:cs="Arial"/>
                <w:b/>
                <w:color w:val="595959"/>
                <w:sz w:val="20"/>
                <w:szCs w:val="20"/>
              </w:rPr>
              <w:t>minimum</w:t>
            </w:r>
            <w:r w:rsidRPr="0042258E">
              <w:rPr>
                <w:rFonts w:ascii="Arial" w:hAnsi="Arial" w:cs="Arial"/>
                <w:b/>
                <w:color w:val="595959"/>
                <w:sz w:val="20"/>
                <w:szCs w:val="20"/>
              </w:rPr>
              <w:t xml:space="preserve"> payment percentage</w:t>
            </w:r>
          </w:p>
        </w:tc>
      </w:tr>
      <w:tr w:rsidR="00222905" w:rsidTr="00FC29E7">
        <w:tc>
          <w:tcPr>
            <w:tcW w:w="3018" w:type="dxa"/>
          </w:tcPr>
          <w:p w:rsidR="00222905" w:rsidRPr="0042258E" w:rsidRDefault="00222905" w:rsidP="00FC29E7">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Under 65</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4</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3</w:t>
            </w:r>
          </w:p>
        </w:tc>
      </w:tr>
      <w:tr w:rsidR="00222905" w:rsidTr="00FC29E7">
        <w:tc>
          <w:tcPr>
            <w:tcW w:w="3018" w:type="dxa"/>
          </w:tcPr>
          <w:p w:rsidR="00222905" w:rsidRPr="0042258E" w:rsidRDefault="00222905" w:rsidP="00FC29E7">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65-74</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5</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3.75</w:t>
            </w:r>
          </w:p>
        </w:tc>
      </w:tr>
      <w:tr w:rsidR="00222905" w:rsidTr="00FC29E7">
        <w:tc>
          <w:tcPr>
            <w:tcW w:w="3018" w:type="dxa"/>
          </w:tcPr>
          <w:p w:rsidR="00222905" w:rsidRPr="0042258E" w:rsidRDefault="00222905" w:rsidP="00FC29E7">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75-79</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6</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4.5</w:t>
            </w:r>
          </w:p>
        </w:tc>
      </w:tr>
      <w:tr w:rsidR="00222905" w:rsidTr="00FC29E7">
        <w:tc>
          <w:tcPr>
            <w:tcW w:w="3018" w:type="dxa"/>
          </w:tcPr>
          <w:p w:rsidR="00222905" w:rsidRPr="0042258E" w:rsidRDefault="00222905" w:rsidP="00FC29E7">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80-84</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7</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5.25</w:t>
            </w:r>
          </w:p>
        </w:tc>
      </w:tr>
      <w:tr w:rsidR="00222905" w:rsidTr="00FC29E7">
        <w:tc>
          <w:tcPr>
            <w:tcW w:w="3018" w:type="dxa"/>
          </w:tcPr>
          <w:p w:rsidR="00222905" w:rsidRPr="0042258E" w:rsidRDefault="00222905" w:rsidP="00FC29E7">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85-89</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9</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6.75</w:t>
            </w:r>
          </w:p>
        </w:tc>
      </w:tr>
      <w:tr w:rsidR="00222905" w:rsidTr="00FC29E7">
        <w:tc>
          <w:tcPr>
            <w:tcW w:w="3018" w:type="dxa"/>
          </w:tcPr>
          <w:p w:rsidR="00222905" w:rsidRPr="0042258E" w:rsidRDefault="00222905" w:rsidP="00FC29E7">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90-94</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11</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8.25</w:t>
            </w:r>
          </w:p>
        </w:tc>
      </w:tr>
      <w:tr w:rsidR="00222905" w:rsidTr="00FC29E7">
        <w:tc>
          <w:tcPr>
            <w:tcW w:w="3018" w:type="dxa"/>
          </w:tcPr>
          <w:p w:rsidR="00222905" w:rsidRPr="0042258E" w:rsidRDefault="00222905" w:rsidP="00FC29E7">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95 or more</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14</w:t>
            </w:r>
          </w:p>
        </w:tc>
        <w:tc>
          <w:tcPr>
            <w:tcW w:w="3018" w:type="dxa"/>
          </w:tcPr>
          <w:p w:rsidR="00222905" w:rsidRDefault="00222905" w:rsidP="00FC29E7">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10.5</w:t>
            </w:r>
          </w:p>
        </w:tc>
      </w:tr>
    </w:tbl>
    <w:p w:rsidR="00222905" w:rsidRDefault="00222905" w:rsidP="002861E4">
      <w:pPr>
        <w:rPr>
          <w:rFonts w:asciiTheme="minorHAnsi" w:hAnsiTheme="minorHAnsi"/>
          <w:sz w:val="22"/>
          <w:szCs w:val="22"/>
        </w:rPr>
      </w:pPr>
    </w:p>
    <w:p w:rsidR="004A2E29" w:rsidRPr="004D26B5" w:rsidRDefault="004A2E29"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t xml:space="preserve">Further, the Institute recommends that members should be limited from </w:t>
      </w:r>
      <w:r w:rsidR="0042258E" w:rsidRPr="004D26B5">
        <w:rPr>
          <w:rFonts w:ascii="Arial" w:eastAsia="Calibri" w:hAnsi="Arial" w:cs="Arial"/>
          <w:color w:val="696969"/>
          <w:sz w:val="20"/>
          <w:szCs w:val="22"/>
          <w:lang w:eastAsia="en-US" w:bidi="en-US"/>
        </w:rPr>
        <w:t xml:space="preserve">having the ability to </w:t>
      </w:r>
      <w:r w:rsidRPr="004D26B5">
        <w:rPr>
          <w:rFonts w:ascii="Arial" w:eastAsia="Calibri" w:hAnsi="Arial" w:cs="Arial"/>
          <w:color w:val="696969"/>
          <w:sz w:val="20"/>
          <w:szCs w:val="22"/>
          <w:lang w:eastAsia="en-US" w:bidi="en-US"/>
        </w:rPr>
        <w:t>effectively tak</w:t>
      </w:r>
      <w:r w:rsidR="0042258E" w:rsidRPr="004D26B5">
        <w:rPr>
          <w:rFonts w:ascii="Arial" w:eastAsia="Calibri" w:hAnsi="Arial" w:cs="Arial"/>
          <w:color w:val="696969"/>
          <w:sz w:val="20"/>
          <w:szCs w:val="22"/>
          <w:lang w:eastAsia="en-US" w:bidi="en-US"/>
        </w:rPr>
        <w:t>e</w:t>
      </w:r>
      <w:r w:rsidRPr="004D26B5">
        <w:rPr>
          <w:rFonts w:ascii="Arial" w:eastAsia="Calibri" w:hAnsi="Arial" w:cs="Arial"/>
          <w:color w:val="696969"/>
          <w:sz w:val="20"/>
          <w:szCs w:val="22"/>
          <w:lang w:eastAsia="en-US" w:bidi="en-US"/>
        </w:rPr>
        <w:t xml:space="preserve"> 100 per cent of their benefits </w:t>
      </w:r>
      <w:r w:rsidR="0042258E" w:rsidRPr="004D26B5">
        <w:rPr>
          <w:rFonts w:ascii="Arial" w:eastAsia="Calibri" w:hAnsi="Arial" w:cs="Arial"/>
          <w:color w:val="696969"/>
          <w:sz w:val="20"/>
          <w:szCs w:val="22"/>
          <w:lang w:eastAsia="en-US" w:bidi="en-US"/>
        </w:rPr>
        <w:t xml:space="preserve">as either a lump sum or as one off pension payment.  </w:t>
      </w:r>
      <w:r w:rsidRPr="004D26B5">
        <w:rPr>
          <w:rFonts w:ascii="Arial" w:eastAsia="Calibri" w:hAnsi="Arial" w:cs="Arial"/>
          <w:color w:val="696969"/>
          <w:sz w:val="20"/>
          <w:szCs w:val="22"/>
          <w:lang w:eastAsia="en-US" w:bidi="en-US"/>
        </w:rPr>
        <w:t xml:space="preserve"> Whilst extensive legislation exists to regulate how much, and the manner in which Australians contribute to superannuation, limited legislation exists relating to how Australians withdraw their superannuation once they have retired or reached 65 years of age.  Accordingly, Australians are free to do as they please with their superannuation upon meeting certain conditions of release. ABS data from 2007 shows around 60 per cent of retirees take either a partial or total lump sum. Of this group only 40 per cent invested in a pension product (an annuity or life pension) or an income earning product (bank account).  Around a third of all retirees used the lump sum to pay off a mortgage, while 16 per cent of males purchased a new car.</w:t>
      </w:r>
    </w:p>
    <w:p w:rsidR="004A2E29" w:rsidRPr="004D26B5" w:rsidRDefault="004A2E29"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t>It is the Institute’s view that the use of retirement funds in this manner is not always appropriate and does little to diminish the future pension burden faced by a shrinking workforce and aging population.</w:t>
      </w:r>
    </w:p>
    <w:p w:rsidR="004A2E29" w:rsidRPr="004D26B5" w:rsidRDefault="004A2E29"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t>The Institute supports choice in superannuation decision making, but also believes there needs to be suitable incentives which encourage retirees to invest in pension and annuity products. Annuities will generally better provide for the longer term needs of retirees and protect against cost of living risks.  Annuities are also clearly more closely aligned with the policy intentions of the superannuation system.</w:t>
      </w:r>
    </w:p>
    <w:p w:rsidR="004A2E29" w:rsidRPr="004D26B5" w:rsidRDefault="004A2E29"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t>Consistent with the findings and reform proposals of the Henry Review, the Institute recommends amendments to taxation and superannuation laws to encourage the development and uptake of annuity products, but not to make it compulsory.</w:t>
      </w:r>
    </w:p>
    <w:p w:rsidR="004A2E29" w:rsidRPr="004D26B5" w:rsidRDefault="004A2E29"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t>The institute also recommends the age threshold of 60, whereby any lump sum withdrawn by those aged less than 60 is tax free up to a cap, which is currently $180,000, be removed.  In other words, any lump sum in excess of a member’s life time low rate cap, irrespective of their age, will be taxed at the same rate as anyone under age 60 which is currently 16.5 per cent.</w:t>
      </w:r>
    </w:p>
    <w:p w:rsidR="004A2E29" w:rsidRPr="004D26B5" w:rsidRDefault="004A2E29"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t>As those taking a transition to retirement income stream (TRIS) are subject to maximum draw down amounts, the Institute believes legislation should be introduced to apply a maximum draw down amount to all pensions, with any excess withdrawals taxed at 16.5 per cent.  As there is currently no limit on how much can be withdrawn by those receiving a pension, in the absence of a maximum pension drawdown, any legislation to tax lump sums in excess of a low rate cap could be circumvented with members withdrawing the entire superannuation balance as a pension.</w:t>
      </w:r>
      <w:r w:rsidR="0042258E" w:rsidRPr="004D26B5">
        <w:rPr>
          <w:rFonts w:ascii="Arial" w:eastAsia="Calibri" w:hAnsi="Arial" w:cs="Arial"/>
          <w:color w:val="696969"/>
          <w:sz w:val="20"/>
          <w:szCs w:val="22"/>
          <w:lang w:eastAsia="en-US" w:bidi="en-US"/>
        </w:rPr>
        <w:t xml:space="preserve"> Similar to the current TRIS rules, the Institute recommends that the maximum payment percentages should be set at two and half times of the minimum payment percentage as shown in Table </w:t>
      </w:r>
      <w:r w:rsidR="00222905" w:rsidRPr="004D26B5">
        <w:rPr>
          <w:rFonts w:ascii="Arial" w:eastAsia="Calibri" w:hAnsi="Arial" w:cs="Arial"/>
          <w:color w:val="696969"/>
          <w:sz w:val="20"/>
          <w:szCs w:val="22"/>
          <w:lang w:eastAsia="en-US" w:bidi="en-US"/>
        </w:rPr>
        <w:t>3.</w:t>
      </w:r>
      <w:r w:rsidR="0042258E" w:rsidRPr="004D26B5">
        <w:rPr>
          <w:rFonts w:ascii="Arial" w:eastAsia="Calibri" w:hAnsi="Arial" w:cs="Arial"/>
          <w:color w:val="696969"/>
          <w:sz w:val="20"/>
          <w:szCs w:val="22"/>
          <w:lang w:eastAsia="en-US" w:bidi="en-US"/>
        </w:rPr>
        <w:t>2.</w:t>
      </w:r>
    </w:p>
    <w:p w:rsidR="0042258E" w:rsidRPr="00911383" w:rsidRDefault="0042258E" w:rsidP="00911383">
      <w:pPr>
        <w:pStyle w:val="BoxText"/>
        <w:ind w:left="993" w:hanging="993"/>
        <w:rPr>
          <w:rFonts w:ascii="Arial" w:eastAsia="Calibri" w:hAnsi="Arial" w:cs="Arial"/>
          <w:b/>
          <w:color w:val="696969"/>
          <w:sz w:val="20"/>
          <w:szCs w:val="22"/>
          <w:lang w:eastAsia="en-US" w:bidi="en-US"/>
        </w:rPr>
      </w:pPr>
      <w:r w:rsidRPr="006316CB">
        <w:rPr>
          <w:rFonts w:ascii="Arial" w:eastAsia="Calibri" w:hAnsi="Arial" w:cs="Arial"/>
          <w:b/>
          <w:color w:val="696969"/>
          <w:sz w:val="20"/>
          <w:szCs w:val="22"/>
          <w:lang w:eastAsia="en-US" w:bidi="en-US"/>
        </w:rPr>
        <w:t xml:space="preserve">Table </w:t>
      </w:r>
      <w:r w:rsidR="00222905" w:rsidRPr="006316CB">
        <w:rPr>
          <w:rFonts w:ascii="Arial" w:eastAsia="Calibri" w:hAnsi="Arial" w:cs="Arial"/>
          <w:b/>
          <w:color w:val="696969"/>
          <w:sz w:val="20"/>
          <w:szCs w:val="22"/>
          <w:lang w:eastAsia="en-US" w:bidi="en-US"/>
        </w:rPr>
        <w:t>3.</w:t>
      </w:r>
      <w:r w:rsidRPr="006316CB">
        <w:rPr>
          <w:rFonts w:ascii="Arial" w:eastAsia="Calibri" w:hAnsi="Arial" w:cs="Arial"/>
          <w:b/>
          <w:color w:val="696969"/>
          <w:sz w:val="20"/>
          <w:szCs w:val="22"/>
          <w:lang w:eastAsia="en-US" w:bidi="en-US"/>
        </w:rPr>
        <w:t>2: Proposed maximum payment percentages (based on current minimum payment percentages)</w:t>
      </w:r>
    </w:p>
    <w:tbl>
      <w:tblPr>
        <w:tblStyle w:val="TableGrid"/>
        <w:tblW w:w="0" w:type="auto"/>
        <w:tblLook w:val="04A0"/>
      </w:tblPr>
      <w:tblGrid>
        <w:gridCol w:w="3018"/>
        <w:gridCol w:w="3018"/>
        <w:gridCol w:w="3018"/>
      </w:tblGrid>
      <w:tr w:rsidR="0042258E" w:rsidTr="0042258E">
        <w:tc>
          <w:tcPr>
            <w:tcW w:w="3018" w:type="dxa"/>
          </w:tcPr>
          <w:p w:rsidR="0042258E" w:rsidRPr="0042258E" w:rsidRDefault="0042258E" w:rsidP="004A2E29">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Age</w:t>
            </w:r>
          </w:p>
        </w:tc>
        <w:tc>
          <w:tcPr>
            <w:tcW w:w="3018" w:type="dxa"/>
          </w:tcPr>
          <w:p w:rsidR="0042258E" w:rsidRPr="0042258E" w:rsidRDefault="0042258E" w:rsidP="0042258E">
            <w:pPr>
              <w:pStyle w:val="ListParagraph"/>
              <w:spacing w:after="0"/>
              <w:ind w:left="0"/>
              <w:contextualSpacing w:val="0"/>
              <w:jc w:val="center"/>
              <w:rPr>
                <w:rFonts w:ascii="Arial" w:hAnsi="Arial" w:cs="Arial"/>
                <w:b/>
                <w:color w:val="595959"/>
                <w:sz w:val="20"/>
                <w:szCs w:val="20"/>
              </w:rPr>
            </w:pPr>
            <w:r w:rsidRPr="0042258E">
              <w:rPr>
                <w:rFonts w:ascii="Arial" w:hAnsi="Arial" w:cs="Arial"/>
                <w:b/>
                <w:color w:val="595959"/>
                <w:sz w:val="20"/>
                <w:szCs w:val="20"/>
              </w:rPr>
              <w:t>Minimum payment percentage</w:t>
            </w:r>
          </w:p>
        </w:tc>
        <w:tc>
          <w:tcPr>
            <w:tcW w:w="3018" w:type="dxa"/>
          </w:tcPr>
          <w:p w:rsidR="0042258E" w:rsidRPr="0042258E" w:rsidRDefault="0042258E" w:rsidP="0042258E">
            <w:pPr>
              <w:pStyle w:val="ListParagraph"/>
              <w:spacing w:after="0"/>
              <w:ind w:left="0"/>
              <w:contextualSpacing w:val="0"/>
              <w:jc w:val="center"/>
              <w:rPr>
                <w:rFonts w:ascii="Arial" w:hAnsi="Arial" w:cs="Arial"/>
                <w:b/>
                <w:color w:val="595959"/>
                <w:sz w:val="20"/>
                <w:szCs w:val="20"/>
              </w:rPr>
            </w:pPr>
            <w:r w:rsidRPr="0042258E">
              <w:rPr>
                <w:rFonts w:ascii="Arial" w:hAnsi="Arial" w:cs="Arial"/>
                <w:b/>
                <w:color w:val="595959"/>
                <w:sz w:val="20"/>
                <w:szCs w:val="20"/>
              </w:rPr>
              <w:t>Proposed maximum payment percentage</w:t>
            </w:r>
          </w:p>
        </w:tc>
      </w:tr>
      <w:tr w:rsidR="0042258E" w:rsidTr="0042258E">
        <w:tc>
          <w:tcPr>
            <w:tcW w:w="3018" w:type="dxa"/>
          </w:tcPr>
          <w:p w:rsidR="0042258E" w:rsidRPr="0042258E" w:rsidRDefault="0042258E" w:rsidP="004A2E29">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Under 65</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4</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10</w:t>
            </w:r>
          </w:p>
        </w:tc>
      </w:tr>
      <w:tr w:rsidR="0042258E" w:rsidTr="0042258E">
        <w:tc>
          <w:tcPr>
            <w:tcW w:w="3018" w:type="dxa"/>
          </w:tcPr>
          <w:p w:rsidR="0042258E" w:rsidRPr="0042258E" w:rsidRDefault="0042258E" w:rsidP="004A2E29">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65-74</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5</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12.5</w:t>
            </w:r>
          </w:p>
        </w:tc>
      </w:tr>
      <w:tr w:rsidR="0042258E" w:rsidTr="0042258E">
        <w:tc>
          <w:tcPr>
            <w:tcW w:w="3018" w:type="dxa"/>
          </w:tcPr>
          <w:p w:rsidR="0042258E" w:rsidRPr="0042258E" w:rsidRDefault="0042258E" w:rsidP="004A2E29">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75-79</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6</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15</w:t>
            </w:r>
          </w:p>
        </w:tc>
      </w:tr>
      <w:tr w:rsidR="0042258E" w:rsidTr="0042258E">
        <w:tc>
          <w:tcPr>
            <w:tcW w:w="3018" w:type="dxa"/>
          </w:tcPr>
          <w:p w:rsidR="0042258E" w:rsidRPr="0042258E" w:rsidRDefault="0042258E" w:rsidP="004A2E29">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80-84</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7</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17.5</w:t>
            </w:r>
          </w:p>
        </w:tc>
      </w:tr>
      <w:tr w:rsidR="0042258E" w:rsidTr="0042258E">
        <w:tc>
          <w:tcPr>
            <w:tcW w:w="3018" w:type="dxa"/>
          </w:tcPr>
          <w:p w:rsidR="0042258E" w:rsidRPr="0042258E" w:rsidRDefault="0042258E" w:rsidP="004A2E29">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85-89</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9</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22.5</w:t>
            </w:r>
          </w:p>
        </w:tc>
      </w:tr>
      <w:tr w:rsidR="0042258E" w:rsidTr="0042258E">
        <w:tc>
          <w:tcPr>
            <w:tcW w:w="3018" w:type="dxa"/>
          </w:tcPr>
          <w:p w:rsidR="0042258E" w:rsidRPr="0042258E" w:rsidRDefault="0042258E" w:rsidP="004A2E29">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90-94</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11</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27.5</w:t>
            </w:r>
          </w:p>
        </w:tc>
      </w:tr>
      <w:tr w:rsidR="0042258E" w:rsidTr="0042258E">
        <w:tc>
          <w:tcPr>
            <w:tcW w:w="3018" w:type="dxa"/>
          </w:tcPr>
          <w:p w:rsidR="0042258E" w:rsidRPr="0042258E" w:rsidRDefault="0042258E" w:rsidP="004A2E29">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95 or more</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14</w:t>
            </w:r>
          </w:p>
        </w:tc>
        <w:tc>
          <w:tcPr>
            <w:tcW w:w="3018" w:type="dxa"/>
          </w:tcPr>
          <w:p w:rsidR="0042258E" w:rsidRDefault="0042258E" w:rsidP="0042258E">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35</w:t>
            </w:r>
          </w:p>
        </w:tc>
      </w:tr>
    </w:tbl>
    <w:p w:rsidR="004A2E29" w:rsidRPr="004D26B5" w:rsidRDefault="004A2E29"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lastRenderedPageBreak/>
        <w:t xml:space="preserve">These recommendations expose the government to minimal incremental costs which would be needed to implement reforms and provide public education around the changes. </w:t>
      </w:r>
    </w:p>
    <w:p w:rsidR="004A2E29" w:rsidRPr="004D26B5" w:rsidRDefault="004A2E29"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t xml:space="preserve">However savings could be substantial. With reference to 2007 aggregates; around 70 per cent of fund members were in a default super fund. Of this group, half had drawn more than 25 per cent of their balance as a lump sum. In so doing, this group were more likely to move to a government pension early in retirement. Measures which encourage default fund (such as </w:t>
      </w:r>
      <w:proofErr w:type="spellStart"/>
      <w:r w:rsidRPr="004D26B5">
        <w:rPr>
          <w:rFonts w:ascii="Arial" w:eastAsia="Calibri" w:hAnsi="Arial" w:cs="Arial"/>
          <w:color w:val="696969"/>
          <w:sz w:val="20"/>
          <w:szCs w:val="22"/>
          <w:lang w:eastAsia="en-US" w:bidi="en-US"/>
        </w:rPr>
        <w:t>MySuper</w:t>
      </w:r>
      <w:proofErr w:type="spellEnd"/>
      <w:r w:rsidRPr="004D26B5">
        <w:rPr>
          <w:rFonts w:ascii="Arial" w:eastAsia="Calibri" w:hAnsi="Arial" w:cs="Arial"/>
          <w:color w:val="696969"/>
          <w:sz w:val="20"/>
          <w:szCs w:val="22"/>
          <w:lang w:eastAsia="en-US" w:bidi="en-US"/>
        </w:rPr>
        <w:t>) account holders into annuity and life pension products are, we believe, likely to lead to significant pension savings.</w:t>
      </w:r>
    </w:p>
    <w:p w:rsidR="008F2F8E" w:rsidRDefault="008F2F8E" w:rsidP="008F2F8E">
      <w:pPr>
        <w:pStyle w:val="BoxText"/>
        <w:rPr>
          <w:i/>
          <w:szCs w:val="22"/>
        </w:rPr>
      </w:pPr>
      <w:r w:rsidRPr="00B429E2">
        <w:rPr>
          <w:b/>
          <w:i/>
          <w:szCs w:val="22"/>
        </w:rPr>
        <w:t>Question 13:</w:t>
      </w:r>
      <w:r w:rsidRPr="00B429E2">
        <w:rPr>
          <w:i/>
          <w:szCs w:val="22"/>
        </w:rPr>
        <w:t xml:space="preserve"> Should there be an automatic mechanism for adjusting the minimum drawdown amounts in response to significant adverse investment market performance? If so, what should that mechanism be? How would this also satisfy the rationale for setting minimum payment amounts?</w:t>
      </w:r>
    </w:p>
    <w:p w:rsidR="00B255D5" w:rsidRDefault="008F2F8E"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t xml:space="preserve">The Institute of Public Accountants believes that there should be an automatic mechanism for adjusting minimum drawdown amounts in response to significant adverse investment market performance.  The Institute recommends </w:t>
      </w:r>
      <w:r w:rsidR="004C20D8">
        <w:rPr>
          <w:rFonts w:ascii="Arial" w:eastAsia="Calibri" w:hAnsi="Arial" w:cs="Arial"/>
          <w:color w:val="696969"/>
          <w:sz w:val="20"/>
          <w:szCs w:val="22"/>
          <w:lang w:eastAsia="en-US" w:bidi="en-US"/>
        </w:rPr>
        <w:t xml:space="preserve">two </w:t>
      </w:r>
      <w:r w:rsidR="0057597D">
        <w:rPr>
          <w:rFonts w:ascii="Arial" w:eastAsia="Calibri" w:hAnsi="Arial" w:cs="Arial"/>
          <w:color w:val="696969"/>
          <w:sz w:val="20"/>
          <w:szCs w:val="22"/>
          <w:lang w:eastAsia="en-US" w:bidi="en-US"/>
        </w:rPr>
        <w:t xml:space="preserve">possible </w:t>
      </w:r>
      <w:r w:rsidRPr="004D26B5">
        <w:rPr>
          <w:rFonts w:ascii="Arial" w:eastAsia="Calibri" w:hAnsi="Arial" w:cs="Arial"/>
          <w:color w:val="696969"/>
          <w:sz w:val="20"/>
          <w:szCs w:val="22"/>
          <w:lang w:eastAsia="en-US" w:bidi="en-US"/>
        </w:rPr>
        <w:t>mechanism</w:t>
      </w:r>
      <w:r w:rsidR="004C20D8">
        <w:rPr>
          <w:rFonts w:ascii="Arial" w:eastAsia="Calibri" w:hAnsi="Arial" w:cs="Arial"/>
          <w:color w:val="696969"/>
          <w:sz w:val="20"/>
          <w:szCs w:val="22"/>
          <w:lang w:eastAsia="en-US" w:bidi="en-US"/>
        </w:rPr>
        <w:t xml:space="preserve">s.  </w:t>
      </w:r>
      <w:r w:rsidR="0057597D">
        <w:rPr>
          <w:rFonts w:ascii="Arial" w:eastAsia="Calibri" w:hAnsi="Arial" w:cs="Arial"/>
          <w:color w:val="696969"/>
          <w:sz w:val="20"/>
          <w:szCs w:val="22"/>
          <w:lang w:eastAsia="en-US" w:bidi="en-US"/>
        </w:rPr>
        <w:t>Th</w:t>
      </w:r>
      <w:r w:rsidR="004C20D8">
        <w:rPr>
          <w:rFonts w:ascii="Arial" w:eastAsia="Calibri" w:hAnsi="Arial" w:cs="Arial"/>
          <w:color w:val="696969"/>
          <w:sz w:val="20"/>
          <w:szCs w:val="22"/>
          <w:lang w:eastAsia="en-US" w:bidi="en-US"/>
        </w:rPr>
        <w:t>e first mechanism is</w:t>
      </w:r>
      <w:r w:rsidRPr="004D26B5">
        <w:rPr>
          <w:rFonts w:ascii="Arial" w:eastAsia="Calibri" w:hAnsi="Arial" w:cs="Arial"/>
          <w:color w:val="696969"/>
          <w:sz w:val="20"/>
          <w:szCs w:val="22"/>
          <w:lang w:eastAsia="en-US" w:bidi="en-US"/>
        </w:rPr>
        <w:t xml:space="preserve"> when there is a ‘correction’, that is a reverse movement of at least 10 per cent, in the stock market </w:t>
      </w:r>
      <w:r w:rsidR="00D41C66">
        <w:rPr>
          <w:rFonts w:ascii="Arial" w:eastAsia="Calibri" w:hAnsi="Arial" w:cs="Arial"/>
          <w:color w:val="696969"/>
          <w:sz w:val="20"/>
          <w:szCs w:val="22"/>
          <w:lang w:eastAsia="en-US" w:bidi="en-US"/>
        </w:rPr>
        <w:t xml:space="preserve">as determined by reference to </w:t>
      </w:r>
      <w:r w:rsidRPr="004D26B5">
        <w:rPr>
          <w:rFonts w:ascii="Arial" w:eastAsia="Calibri" w:hAnsi="Arial" w:cs="Arial"/>
          <w:color w:val="696969"/>
          <w:sz w:val="20"/>
          <w:szCs w:val="22"/>
          <w:lang w:eastAsia="en-US" w:bidi="en-US"/>
        </w:rPr>
        <w:t xml:space="preserve">the </w:t>
      </w:r>
      <w:r w:rsidR="00D41C66">
        <w:rPr>
          <w:rFonts w:ascii="Arial" w:eastAsia="Calibri" w:hAnsi="Arial" w:cs="Arial"/>
          <w:color w:val="696969"/>
          <w:sz w:val="20"/>
          <w:szCs w:val="22"/>
          <w:lang w:eastAsia="en-US" w:bidi="en-US"/>
        </w:rPr>
        <w:t>primary index of the Australian stock market, the ASX 200 index</w:t>
      </w:r>
      <w:r w:rsidR="004C20D8">
        <w:rPr>
          <w:rFonts w:ascii="Arial" w:eastAsia="Calibri" w:hAnsi="Arial" w:cs="Arial"/>
          <w:color w:val="696969"/>
          <w:sz w:val="20"/>
          <w:szCs w:val="22"/>
          <w:lang w:eastAsia="en-US" w:bidi="en-US"/>
        </w:rPr>
        <w:t xml:space="preserve">.  The second mechanism is </w:t>
      </w:r>
      <w:r w:rsidR="0057597D">
        <w:rPr>
          <w:rFonts w:ascii="Arial" w:eastAsia="Calibri" w:hAnsi="Arial" w:cs="Arial"/>
          <w:color w:val="696969"/>
          <w:sz w:val="20"/>
          <w:szCs w:val="22"/>
          <w:lang w:eastAsia="en-US" w:bidi="en-US"/>
        </w:rPr>
        <w:t xml:space="preserve">when there is </w:t>
      </w:r>
      <w:r w:rsidR="004C20D8">
        <w:rPr>
          <w:rFonts w:ascii="Arial" w:eastAsia="Calibri" w:hAnsi="Arial" w:cs="Arial"/>
          <w:color w:val="696969"/>
          <w:sz w:val="20"/>
          <w:szCs w:val="22"/>
          <w:lang w:eastAsia="en-US" w:bidi="en-US"/>
        </w:rPr>
        <w:t>a fall in the Reserve Bank of Australia’s Cash Rate greater than 100 basis points</w:t>
      </w:r>
      <w:r w:rsidR="0057597D">
        <w:rPr>
          <w:rFonts w:ascii="Arial" w:eastAsia="Calibri" w:hAnsi="Arial" w:cs="Arial"/>
          <w:color w:val="696969"/>
          <w:sz w:val="20"/>
          <w:szCs w:val="22"/>
          <w:lang w:eastAsia="en-US" w:bidi="en-US"/>
        </w:rPr>
        <w:t xml:space="preserve">.  The rationale for this second mechanism is primarily due to there being a </w:t>
      </w:r>
      <w:r w:rsidR="006316CB">
        <w:rPr>
          <w:rFonts w:ascii="Arial" w:eastAsia="Calibri" w:hAnsi="Arial" w:cs="Arial"/>
          <w:color w:val="696969"/>
          <w:sz w:val="20"/>
          <w:szCs w:val="22"/>
          <w:lang w:eastAsia="en-US" w:bidi="en-US"/>
        </w:rPr>
        <w:t>high number of retirees with conservative or cautious investment strategies</w:t>
      </w:r>
      <w:r w:rsidR="0057597D">
        <w:rPr>
          <w:rFonts w:ascii="Arial" w:eastAsia="Calibri" w:hAnsi="Arial" w:cs="Arial"/>
          <w:color w:val="696969"/>
          <w:sz w:val="20"/>
          <w:szCs w:val="22"/>
          <w:lang w:eastAsia="en-US" w:bidi="en-US"/>
        </w:rPr>
        <w:t xml:space="preserve"> who would have their income levels directly affected with a reduction in interest rates</w:t>
      </w:r>
      <w:r w:rsidR="004C20D8">
        <w:rPr>
          <w:rFonts w:ascii="Arial" w:eastAsia="Calibri" w:hAnsi="Arial" w:cs="Arial"/>
          <w:color w:val="696969"/>
          <w:sz w:val="20"/>
          <w:szCs w:val="22"/>
          <w:lang w:eastAsia="en-US" w:bidi="en-US"/>
        </w:rPr>
        <w:t>.</w:t>
      </w:r>
      <w:r w:rsidRPr="004D26B5">
        <w:rPr>
          <w:rFonts w:ascii="Arial" w:eastAsia="Calibri" w:hAnsi="Arial" w:cs="Arial"/>
          <w:color w:val="696969"/>
          <w:sz w:val="20"/>
          <w:szCs w:val="22"/>
          <w:lang w:eastAsia="en-US" w:bidi="en-US"/>
        </w:rPr>
        <w:t xml:space="preserve"> </w:t>
      </w:r>
    </w:p>
    <w:p w:rsidR="006316CB" w:rsidRPr="00911383" w:rsidRDefault="006316CB" w:rsidP="00911383">
      <w:pPr>
        <w:pStyle w:val="BoxText"/>
        <w:rPr>
          <w:rFonts w:ascii="Arial" w:eastAsia="Calibri" w:hAnsi="Arial" w:cs="Arial"/>
          <w:color w:val="696969"/>
          <w:sz w:val="20"/>
          <w:szCs w:val="22"/>
          <w:lang w:eastAsia="en-US" w:bidi="en-US"/>
        </w:rPr>
      </w:pPr>
      <w:r w:rsidRPr="00911383">
        <w:rPr>
          <w:rFonts w:ascii="Arial" w:eastAsia="Calibri" w:hAnsi="Arial" w:cs="Arial"/>
          <w:color w:val="696969"/>
          <w:sz w:val="20"/>
          <w:szCs w:val="22"/>
          <w:lang w:eastAsia="en-US" w:bidi="en-US"/>
        </w:rPr>
        <w:t xml:space="preserve">In the event of a significant adverse market event, the Institute recommends that the minimum payment percentage be reduced by the existing factor for those under the </w:t>
      </w:r>
      <w:r w:rsidR="00911383">
        <w:rPr>
          <w:rFonts w:ascii="Arial" w:eastAsia="Calibri" w:hAnsi="Arial" w:cs="Arial"/>
          <w:color w:val="696969"/>
          <w:sz w:val="20"/>
          <w:szCs w:val="22"/>
          <w:lang w:eastAsia="en-US" w:bidi="en-US"/>
        </w:rPr>
        <w:t xml:space="preserve">qualifying age for the </w:t>
      </w:r>
      <w:r w:rsidRPr="00911383">
        <w:rPr>
          <w:rFonts w:ascii="Arial" w:eastAsia="Calibri" w:hAnsi="Arial" w:cs="Arial"/>
          <w:color w:val="696969"/>
          <w:sz w:val="20"/>
          <w:szCs w:val="22"/>
          <w:lang w:eastAsia="en-US" w:bidi="en-US"/>
        </w:rPr>
        <w:t xml:space="preserve">Age Pension </w:t>
      </w:r>
      <w:r w:rsidR="00911383">
        <w:rPr>
          <w:rFonts w:ascii="Arial" w:eastAsia="Calibri" w:hAnsi="Arial" w:cs="Arial"/>
          <w:color w:val="696969"/>
          <w:sz w:val="20"/>
          <w:szCs w:val="22"/>
          <w:lang w:eastAsia="en-US" w:bidi="en-US"/>
        </w:rPr>
        <w:t>(currently 3%)</w:t>
      </w:r>
      <w:r w:rsidRPr="00911383">
        <w:rPr>
          <w:rFonts w:ascii="Arial" w:eastAsia="Calibri" w:hAnsi="Arial" w:cs="Arial"/>
          <w:color w:val="696969"/>
          <w:sz w:val="20"/>
          <w:szCs w:val="22"/>
          <w:lang w:eastAsia="en-US" w:bidi="en-US"/>
        </w:rPr>
        <w:t>.  That is, for those under age 65, the minimum payment percentage would reduce to 0%</w:t>
      </w:r>
      <w:r w:rsidR="00911383">
        <w:rPr>
          <w:rFonts w:ascii="Arial" w:eastAsia="Calibri" w:hAnsi="Arial" w:cs="Arial"/>
          <w:color w:val="696969"/>
          <w:sz w:val="20"/>
          <w:szCs w:val="22"/>
          <w:lang w:eastAsia="en-US" w:bidi="en-US"/>
        </w:rPr>
        <w:t xml:space="preserve"> as shown in Table 3.3</w:t>
      </w:r>
      <w:r w:rsidRPr="00911383">
        <w:rPr>
          <w:rFonts w:ascii="Arial" w:eastAsia="Calibri" w:hAnsi="Arial" w:cs="Arial"/>
          <w:color w:val="696969"/>
          <w:sz w:val="20"/>
          <w:szCs w:val="22"/>
          <w:lang w:eastAsia="en-US" w:bidi="en-US"/>
        </w:rPr>
        <w:t xml:space="preserve">. </w:t>
      </w:r>
      <w:r w:rsidR="00911383">
        <w:rPr>
          <w:rFonts w:ascii="Arial" w:eastAsia="Calibri" w:hAnsi="Arial" w:cs="Arial"/>
          <w:color w:val="696969"/>
          <w:sz w:val="20"/>
          <w:szCs w:val="22"/>
          <w:lang w:eastAsia="en-US" w:bidi="en-US"/>
        </w:rPr>
        <w:t>The rationale for this recommendation is that this category of individuals are likely to have their balances at the highest level post-retirement and are most vulnerable for larger dollar losses as a result.</w:t>
      </w:r>
      <w:r w:rsidRPr="00911383">
        <w:rPr>
          <w:rFonts w:ascii="Arial" w:eastAsia="Calibri" w:hAnsi="Arial" w:cs="Arial"/>
          <w:color w:val="696969"/>
          <w:sz w:val="20"/>
          <w:szCs w:val="22"/>
          <w:lang w:eastAsia="en-US" w:bidi="en-US"/>
        </w:rPr>
        <w:t xml:space="preserve"> </w:t>
      </w:r>
    </w:p>
    <w:p w:rsidR="006316CB" w:rsidRDefault="006316CB" w:rsidP="00911383">
      <w:pPr>
        <w:pStyle w:val="ListParagraph"/>
        <w:spacing w:after="0"/>
        <w:ind w:left="993" w:hanging="993"/>
        <w:contextualSpacing w:val="0"/>
        <w:rPr>
          <w:rFonts w:ascii="Arial" w:hAnsi="Arial" w:cs="Arial"/>
          <w:b/>
          <w:color w:val="696969"/>
          <w:sz w:val="20"/>
          <w:lang w:bidi="en-US"/>
        </w:rPr>
      </w:pPr>
      <w:r w:rsidRPr="004C20D8">
        <w:rPr>
          <w:rFonts w:ascii="Arial" w:hAnsi="Arial" w:cs="Arial"/>
          <w:b/>
          <w:color w:val="696969"/>
          <w:sz w:val="20"/>
          <w:lang w:bidi="en-US"/>
        </w:rPr>
        <w:t>Table 3.</w:t>
      </w:r>
      <w:r>
        <w:rPr>
          <w:rFonts w:ascii="Arial" w:hAnsi="Arial" w:cs="Arial"/>
          <w:b/>
          <w:color w:val="696969"/>
          <w:sz w:val="20"/>
          <w:lang w:bidi="en-US"/>
        </w:rPr>
        <w:t>3</w:t>
      </w:r>
      <w:r w:rsidRPr="004C20D8">
        <w:rPr>
          <w:rFonts w:ascii="Arial" w:hAnsi="Arial" w:cs="Arial"/>
          <w:b/>
          <w:color w:val="696969"/>
          <w:sz w:val="20"/>
          <w:lang w:bidi="en-US"/>
        </w:rPr>
        <w:t>: Proposed m</w:t>
      </w:r>
      <w:r>
        <w:rPr>
          <w:rFonts w:ascii="Arial" w:hAnsi="Arial" w:cs="Arial"/>
          <w:b/>
          <w:color w:val="696969"/>
          <w:sz w:val="20"/>
          <w:lang w:bidi="en-US"/>
        </w:rPr>
        <w:t xml:space="preserve">inimum </w:t>
      </w:r>
      <w:r w:rsidRPr="004C20D8">
        <w:rPr>
          <w:rFonts w:ascii="Arial" w:hAnsi="Arial" w:cs="Arial"/>
          <w:b/>
          <w:color w:val="696969"/>
          <w:sz w:val="20"/>
          <w:lang w:bidi="en-US"/>
        </w:rPr>
        <w:t xml:space="preserve">payment percentages </w:t>
      </w:r>
      <w:r>
        <w:rPr>
          <w:rFonts w:ascii="Arial" w:hAnsi="Arial" w:cs="Arial"/>
          <w:b/>
          <w:color w:val="696969"/>
          <w:sz w:val="20"/>
          <w:lang w:bidi="en-US"/>
        </w:rPr>
        <w:t xml:space="preserve">after an investment shock has been triggered </w:t>
      </w:r>
      <w:r w:rsidRPr="004C20D8">
        <w:rPr>
          <w:rFonts w:ascii="Arial" w:hAnsi="Arial" w:cs="Arial"/>
          <w:b/>
          <w:color w:val="696969"/>
          <w:sz w:val="20"/>
          <w:lang w:bidi="en-US"/>
        </w:rPr>
        <w:t xml:space="preserve">(based on </w:t>
      </w:r>
      <w:r>
        <w:rPr>
          <w:rFonts w:ascii="Arial" w:hAnsi="Arial" w:cs="Arial"/>
          <w:b/>
          <w:color w:val="696969"/>
          <w:sz w:val="20"/>
          <w:lang w:bidi="en-US"/>
        </w:rPr>
        <w:t xml:space="preserve">proposed </w:t>
      </w:r>
      <w:r w:rsidRPr="004C20D8">
        <w:rPr>
          <w:rFonts w:ascii="Arial" w:hAnsi="Arial" w:cs="Arial"/>
          <w:b/>
          <w:color w:val="696969"/>
          <w:sz w:val="20"/>
          <w:lang w:bidi="en-US"/>
        </w:rPr>
        <w:t>minimum payment percentages</w:t>
      </w:r>
      <w:r>
        <w:rPr>
          <w:rFonts w:ascii="Arial" w:hAnsi="Arial" w:cs="Arial"/>
          <w:b/>
          <w:color w:val="696969"/>
          <w:sz w:val="20"/>
          <w:lang w:bidi="en-US"/>
        </w:rPr>
        <w:t xml:space="preserve"> from table 3.1</w:t>
      </w:r>
      <w:r w:rsidRPr="004C20D8">
        <w:rPr>
          <w:rFonts w:ascii="Arial" w:hAnsi="Arial" w:cs="Arial"/>
          <w:b/>
          <w:color w:val="696969"/>
          <w:sz w:val="20"/>
          <w:lang w:bidi="en-US"/>
        </w:rPr>
        <w:t>)</w:t>
      </w:r>
    </w:p>
    <w:p w:rsidR="00911383" w:rsidRPr="00911383" w:rsidRDefault="00911383" w:rsidP="00911383">
      <w:pPr>
        <w:pStyle w:val="ListParagraph"/>
        <w:spacing w:after="0"/>
        <w:ind w:left="993" w:hanging="993"/>
        <w:contextualSpacing w:val="0"/>
        <w:rPr>
          <w:rFonts w:ascii="Arial" w:hAnsi="Arial" w:cs="Arial"/>
          <w:b/>
          <w:color w:val="696969"/>
          <w:sz w:val="20"/>
          <w:lang w:bidi="en-US"/>
        </w:rPr>
      </w:pPr>
    </w:p>
    <w:tbl>
      <w:tblPr>
        <w:tblStyle w:val="TableGrid"/>
        <w:tblW w:w="0" w:type="auto"/>
        <w:tblLook w:val="04A0"/>
      </w:tblPr>
      <w:tblGrid>
        <w:gridCol w:w="3018"/>
        <w:gridCol w:w="3018"/>
        <w:gridCol w:w="3018"/>
      </w:tblGrid>
      <w:tr w:rsidR="006316CB" w:rsidRPr="0042258E" w:rsidTr="00524C32">
        <w:tc>
          <w:tcPr>
            <w:tcW w:w="3018" w:type="dxa"/>
          </w:tcPr>
          <w:p w:rsidR="006316CB" w:rsidRPr="0042258E" w:rsidRDefault="006316CB" w:rsidP="006316CB">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Age</w:t>
            </w:r>
          </w:p>
        </w:tc>
        <w:tc>
          <w:tcPr>
            <w:tcW w:w="3018" w:type="dxa"/>
          </w:tcPr>
          <w:p w:rsidR="006316CB" w:rsidRDefault="006316CB" w:rsidP="006316CB">
            <w:pPr>
              <w:pStyle w:val="ListParagraph"/>
              <w:spacing w:after="0"/>
              <w:ind w:left="0"/>
              <w:contextualSpacing w:val="0"/>
              <w:jc w:val="center"/>
              <w:rPr>
                <w:rFonts w:ascii="Arial" w:hAnsi="Arial" w:cs="Arial"/>
                <w:b/>
                <w:color w:val="595959"/>
                <w:sz w:val="20"/>
                <w:szCs w:val="20"/>
              </w:rPr>
            </w:pPr>
            <w:r w:rsidRPr="0042258E">
              <w:rPr>
                <w:rFonts w:ascii="Arial" w:hAnsi="Arial" w:cs="Arial"/>
                <w:b/>
                <w:color w:val="595959"/>
                <w:sz w:val="20"/>
                <w:szCs w:val="20"/>
              </w:rPr>
              <w:t xml:space="preserve">Proposed </w:t>
            </w:r>
            <w:r>
              <w:rPr>
                <w:rFonts w:ascii="Arial" w:hAnsi="Arial" w:cs="Arial"/>
                <w:b/>
                <w:color w:val="595959"/>
                <w:sz w:val="20"/>
                <w:szCs w:val="20"/>
              </w:rPr>
              <w:t>minimum</w:t>
            </w:r>
            <w:r w:rsidRPr="0042258E">
              <w:rPr>
                <w:rFonts w:ascii="Arial" w:hAnsi="Arial" w:cs="Arial"/>
                <w:b/>
                <w:color w:val="595959"/>
                <w:sz w:val="20"/>
                <w:szCs w:val="20"/>
              </w:rPr>
              <w:t xml:space="preserve"> payment percentage</w:t>
            </w:r>
          </w:p>
        </w:tc>
        <w:tc>
          <w:tcPr>
            <w:tcW w:w="3018" w:type="dxa"/>
          </w:tcPr>
          <w:p w:rsidR="006316CB" w:rsidRPr="0042258E" w:rsidRDefault="006316CB" w:rsidP="006316CB">
            <w:pPr>
              <w:pStyle w:val="ListParagraph"/>
              <w:spacing w:after="0"/>
              <w:ind w:left="0"/>
              <w:contextualSpacing w:val="0"/>
              <w:jc w:val="center"/>
              <w:rPr>
                <w:rFonts w:ascii="Arial" w:hAnsi="Arial" w:cs="Arial"/>
                <w:b/>
                <w:color w:val="595959"/>
                <w:sz w:val="20"/>
                <w:szCs w:val="20"/>
              </w:rPr>
            </w:pPr>
            <w:r>
              <w:rPr>
                <w:rFonts w:ascii="Arial" w:hAnsi="Arial" w:cs="Arial"/>
                <w:b/>
                <w:color w:val="595959"/>
                <w:sz w:val="20"/>
                <w:szCs w:val="20"/>
              </w:rPr>
              <w:t>Proposed m</w:t>
            </w:r>
            <w:r w:rsidRPr="0042258E">
              <w:rPr>
                <w:rFonts w:ascii="Arial" w:hAnsi="Arial" w:cs="Arial"/>
                <w:b/>
                <w:color w:val="595959"/>
                <w:sz w:val="20"/>
                <w:szCs w:val="20"/>
              </w:rPr>
              <w:t>inimum payment percentage</w:t>
            </w:r>
            <w:r>
              <w:rPr>
                <w:rFonts w:ascii="Arial" w:hAnsi="Arial" w:cs="Arial"/>
                <w:b/>
                <w:color w:val="595959"/>
                <w:sz w:val="20"/>
                <w:szCs w:val="20"/>
              </w:rPr>
              <w:t xml:space="preserve"> after investment shock</w:t>
            </w:r>
          </w:p>
        </w:tc>
      </w:tr>
      <w:tr w:rsidR="006316CB" w:rsidTr="00524C32">
        <w:tc>
          <w:tcPr>
            <w:tcW w:w="3018" w:type="dxa"/>
          </w:tcPr>
          <w:p w:rsidR="006316CB" w:rsidRPr="0042258E" w:rsidRDefault="006316CB" w:rsidP="006316CB">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Under 65</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3</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0</w:t>
            </w:r>
          </w:p>
        </w:tc>
      </w:tr>
      <w:tr w:rsidR="006316CB" w:rsidTr="00524C32">
        <w:tc>
          <w:tcPr>
            <w:tcW w:w="3018" w:type="dxa"/>
          </w:tcPr>
          <w:p w:rsidR="006316CB" w:rsidRPr="0042258E" w:rsidRDefault="006316CB" w:rsidP="006316CB">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65-74</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3.75</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0.75</w:t>
            </w:r>
          </w:p>
        </w:tc>
      </w:tr>
      <w:tr w:rsidR="006316CB" w:rsidTr="00524C32">
        <w:tc>
          <w:tcPr>
            <w:tcW w:w="3018" w:type="dxa"/>
          </w:tcPr>
          <w:p w:rsidR="006316CB" w:rsidRPr="0042258E" w:rsidRDefault="006316CB" w:rsidP="006316CB">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75-79</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4.5</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1.5</w:t>
            </w:r>
          </w:p>
        </w:tc>
      </w:tr>
      <w:tr w:rsidR="006316CB" w:rsidTr="00524C32">
        <w:tc>
          <w:tcPr>
            <w:tcW w:w="3018" w:type="dxa"/>
          </w:tcPr>
          <w:p w:rsidR="006316CB" w:rsidRPr="0042258E" w:rsidRDefault="006316CB" w:rsidP="006316CB">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80-84</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5.25</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2.25</w:t>
            </w:r>
          </w:p>
        </w:tc>
      </w:tr>
      <w:tr w:rsidR="006316CB" w:rsidTr="00524C32">
        <w:tc>
          <w:tcPr>
            <w:tcW w:w="3018" w:type="dxa"/>
          </w:tcPr>
          <w:p w:rsidR="006316CB" w:rsidRPr="0042258E" w:rsidRDefault="006316CB" w:rsidP="006316CB">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85-89</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6.75</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3.75</w:t>
            </w:r>
          </w:p>
        </w:tc>
      </w:tr>
      <w:tr w:rsidR="006316CB" w:rsidTr="00524C32">
        <w:tc>
          <w:tcPr>
            <w:tcW w:w="3018" w:type="dxa"/>
          </w:tcPr>
          <w:p w:rsidR="006316CB" w:rsidRPr="0042258E" w:rsidRDefault="006316CB" w:rsidP="006316CB">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90-94</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8.25</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5.25</w:t>
            </w:r>
          </w:p>
        </w:tc>
      </w:tr>
      <w:tr w:rsidR="006316CB" w:rsidTr="00524C32">
        <w:tc>
          <w:tcPr>
            <w:tcW w:w="3018" w:type="dxa"/>
          </w:tcPr>
          <w:p w:rsidR="006316CB" w:rsidRPr="0042258E" w:rsidRDefault="006316CB" w:rsidP="006316CB">
            <w:pPr>
              <w:pStyle w:val="ListParagraph"/>
              <w:spacing w:after="0"/>
              <w:ind w:left="0"/>
              <w:contextualSpacing w:val="0"/>
              <w:rPr>
                <w:rFonts w:ascii="Arial" w:hAnsi="Arial" w:cs="Arial"/>
                <w:b/>
                <w:color w:val="595959"/>
                <w:sz w:val="20"/>
                <w:szCs w:val="20"/>
              </w:rPr>
            </w:pPr>
            <w:r w:rsidRPr="0042258E">
              <w:rPr>
                <w:rFonts w:ascii="Arial" w:hAnsi="Arial" w:cs="Arial"/>
                <w:b/>
                <w:color w:val="595959"/>
                <w:sz w:val="20"/>
                <w:szCs w:val="20"/>
              </w:rPr>
              <w:t>95 or more</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10.5</w:t>
            </w:r>
          </w:p>
        </w:tc>
        <w:tc>
          <w:tcPr>
            <w:tcW w:w="3018" w:type="dxa"/>
          </w:tcPr>
          <w:p w:rsidR="006316CB" w:rsidRDefault="006316CB" w:rsidP="006316CB">
            <w:pPr>
              <w:pStyle w:val="ListParagraph"/>
              <w:spacing w:after="0"/>
              <w:ind w:left="0"/>
              <w:contextualSpacing w:val="0"/>
              <w:jc w:val="center"/>
              <w:rPr>
                <w:rFonts w:ascii="Arial" w:hAnsi="Arial" w:cs="Arial"/>
                <w:color w:val="595959"/>
                <w:sz w:val="20"/>
                <w:szCs w:val="20"/>
              </w:rPr>
            </w:pPr>
            <w:r>
              <w:rPr>
                <w:rFonts w:ascii="Arial" w:hAnsi="Arial" w:cs="Arial"/>
                <w:color w:val="595959"/>
                <w:sz w:val="20"/>
                <w:szCs w:val="20"/>
              </w:rPr>
              <w:t>7.5</w:t>
            </w:r>
          </w:p>
        </w:tc>
      </w:tr>
    </w:tbl>
    <w:p w:rsidR="004E7A6A" w:rsidRDefault="004E7A6A" w:rsidP="00D41C66">
      <w:pPr>
        <w:pStyle w:val="BoxText"/>
        <w:rPr>
          <w:b/>
          <w:i/>
          <w:szCs w:val="22"/>
        </w:rPr>
      </w:pPr>
    </w:p>
    <w:p w:rsidR="0057597D" w:rsidRDefault="0057597D" w:rsidP="00D41C66">
      <w:pPr>
        <w:pStyle w:val="BoxText"/>
        <w:rPr>
          <w:b/>
          <w:i/>
          <w:szCs w:val="22"/>
        </w:rPr>
      </w:pPr>
    </w:p>
    <w:p w:rsidR="0057597D" w:rsidRDefault="0057597D" w:rsidP="00D41C66">
      <w:pPr>
        <w:pStyle w:val="BoxText"/>
        <w:rPr>
          <w:b/>
          <w:i/>
          <w:szCs w:val="22"/>
        </w:rPr>
      </w:pPr>
    </w:p>
    <w:p w:rsidR="00D41C66" w:rsidRPr="00B429E2" w:rsidRDefault="00D41C66" w:rsidP="00D41C66">
      <w:pPr>
        <w:pStyle w:val="BoxText"/>
        <w:rPr>
          <w:i/>
          <w:szCs w:val="22"/>
        </w:rPr>
      </w:pPr>
      <w:r w:rsidRPr="00B429E2">
        <w:rPr>
          <w:b/>
          <w:i/>
          <w:szCs w:val="22"/>
        </w:rPr>
        <w:lastRenderedPageBreak/>
        <w:t>Question 14:</w:t>
      </w:r>
      <w:r w:rsidRPr="00B429E2">
        <w:rPr>
          <w:i/>
          <w:szCs w:val="22"/>
        </w:rPr>
        <w:t xml:space="preserve"> Should the minimum drawdown amounts also increase in response to very strong market performance? Would the mechanism be similar to that for decreases? Would this satisfy the rationale for setting minimum payment amounts?</w:t>
      </w:r>
    </w:p>
    <w:p w:rsidR="00B255D5" w:rsidRPr="004D26B5" w:rsidRDefault="00D41C66" w:rsidP="004D26B5">
      <w:pPr>
        <w:pStyle w:val="BoxText"/>
        <w:rPr>
          <w:rFonts w:ascii="Arial" w:eastAsia="Calibri" w:hAnsi="Arial" w:cs="Arial"/>
          <w:color w:val="696969"/>
          <w:sz w:val="20"/>
          <w:szCs w:val="22"/>
          <w:lang w:eastAsia="en-US" w:bidi="en-US"/>
        </w:rPr>
      </w:pPr>
      <w:r w:rsidRPr="004D26B5">
        <w:rPr>
          <w:rFonts w:ascii="Arial" w:eastAsia="Calibri" w:hAnsi="Arial" w:cs="Arial"/>
          <w:color w:val="696969"/>
          <w:sz w:val="20"/>
          <w:szCs w:val="22"/>
          <w:lang w:eastAsia="en-US" w:bidi="en-US"/>
        </w:rPr>
        <w:t xml:space="preserve">The Institute of Public Accountants </w:t>
      </w:r>
      <w:r>
        <w:rPr>
          <w:rFonts w:ascii="Arial" w:eastAsia="Calibri" w:hAnsi="Arial" w:cs="Arial"/>
          <w:color w:val="696969"/>
          <w:sz w:val="20"/>
          <w:szCs w:val="22"/>
          <w:lang w:eastAsia="en-US" w:bidi="en-US"/>
        </w:rPr>
        <w:t>does not believe</w:t>
      </w:r>
      <w:r w:rsidRPr="004D26B5">
        <w:rPr>
          <w:rFonts w:ascii="Arial" w:eastAsia="Calibri" w:hAnsi="Arial" w:cs="Arial"/>
          <w:color w:val="696969"/>
          <w:sz w:val="20"/>
          <w:szCs w:val="22"/>
          <w:lang w:eastAsia="en-US" w:bidi="en-US"/>
        </w:rPr>
        <w:t xml:space="preserve"> that there should be an </w:t>
      </w:r>
      <w:r>
        <w:rPr>
          <w:rFonts w:ascii="Arial" w:eastAsia="Calibri" w:hAnsi="Arial" w:cs="Arial"/>
          <w:color w:val="696969"/>
          <w:sz w:val="20"/>
          <w:szCs w:val="22"/>
          <w:lang w:eastAsia="en-US" w:bidi="en-US"/>
        </w:rPr>
        <w:t xml:space="preserve">upward </w:t>
      </w:r>
      <w:r w:rsidRPr="004D26B5">
        <w:rPr>
          <w:rFonts w:ascii="Arial" w:eastAsia="Calibri" w:hAnsi="Arial" w:cs="Arial"/>
          <w:color w:val="696969"/>
          <w:sz w:val="20"/>
          <w:szCs w:val="22"/>
          <w:lang w:eastAsia="en-US" w:bidi="en-US"/>
        </w:rPr>
        <w:t>adjust</w:t>
      </w:r>
      <w:r>
        <w:rPr>
          <w:rFonts w:ascii="Arial" w:eastAsia="Calibri" w:hAnsi="Arial" w:cs="Arial"/>
          <w:color w:val="696969"/>
          <w:sz w:val="20"/>
          <w:szCs w:val="22"/>
          <w:lang w:eastAsia="en-US" w:bidi="en-US"/>
        </w:rPr>
        <w:t xml:space="preserve">ment to </w:t>
      </w:r>
      <w:r w:rsidRPr="004D26B5">
        <w:rPr>
          <w:rFonts w:ascii="Arial" w:eastAsia="Calibri" w:hAnsi="Arial" w:cs="Arial"/>
          <w:color w:val="696969"/>
          <w:sz w:val="20"/>
          <w:szCs w:val="22"/>
          <w:lang w:eastAsia="en-US" w:bidi="en-US"/>
        </w:rPr>
        <w:t xml:space="preserve">minimum drawdown amounts in response to </w:t>
      </w:r>
      <w:r>
        <w:rPr>
          <w:rFonts w:ascii="Arial" w:eastAsia="Calibri" w:hAnsi="Arial" w:cs="Arial"/>
          <w:color w:val="696969"/>
          <w:sz w:val="20"/>
          <w:szCs w:val="22"/>
          <w:lang w:eastAsia="en-US" w:bidi="en-US"/>
        </w:rPr>
        <w:t xml:space="preserve">very strong </w:t>
      </w:r>
      <w:r w:rsidRPr="004D26B5">
        <w:rPr>
          <w:rFonts w:ascii="Arial" w:eastAsia="Calibri" w:hAnsi="Arial" w:cs="Arial"/>
          <w:color w:val="696969"/>
          <w:sz w:val="20"/>
          <w:szCs w:val="22"/>
          <w:lang w:eastAsia="en-US" w:bidi="en-US"/>
        </w:rPr>
        <w:t xml:space="preserve">market performance.  </w:t>
      </w:r>
      <w:r>
        <w:rPr>
          <w:rFonts w:ascii="Arial" w:eastAsia="Calibri" w:hAnsi="Arial" w:cs="Arial"/>
          <w:color w:val="696969"/>
          <w:sz w:val="20"/>
          <w:szCs w:val="22"/>
          <w:lang w:eastAsia="en-US" w:bidi="en-US"/>
        </w:rPr>
        <w:t xml:space="preserve">The rationale for this is </w:t>
      </w:r>
      <w:r w:rsidR="009F6C5B">
        <w:rPr>
          <w:rFonts w:ascii="Arial" w:eastAsia="Calibri" w:hAnsi="Arial" w:cs="Arial"/>
          <w:color w:val="696969"/>
          <w:sz w:val="20"/>
          <w:szCs w:val="22"/>
          <w:lang w:eastAsia="en-US" w:bidi="en-US"/>
        </w:rPr>
        <w:t>fourfold.  First</w:t>
      </w:r>
      <w:r>
        <w:rPr>
          <w:rFonts w:ascii="Arial" w:eastAsia="Calibri" w:hAnsi="Arial" w:cs="Arial"/>
          <w:color w:val="696969"/>
          <w:sz w:val="20"/>
          <w:szCs w:val="22"/>
          <w:lang w:eastAsia="en-US" w:bidi="en-US"/>
        </w:rPr>
        <w:t xml:space="preserve">, </w:t>
      </w:r>
      <w:r w:rsidR="009F6C5B">
        <w:rPr>
          <w:rFonts w:ascii="Arial" w:eastAsia="Calibri" w:hAnsi="Arial" w:cs="Arial"/>
          <w:color w:val="696969"/>
          <w:sz w:val="20"/>
          <w:szCs w:val="22"/>
          <w:lang w:eastAsia="en-US" w:bidi="en-US"/>
        </w:rPr>
        <w:t xml:space="preserve">it is expected that a lot of retirees may not directly benefit from strong market performance based on having a </w:t>
      </w:r>
      <w:r>
        <w:rPr>
          <w:rFonts w:ascii="Arial" w:eastAsia="Calibri" w:hAnsi="Arial" w:cs="Arial"/>
          <w:color w:val="696969"/>
          <w:sz w:val="20"/>
          <w:szCs w:val="22"/>
          <w:lang w:eastAsia="en-US" w:bidi="en-US"/>
        </w:rPr>
        <w:t>conservative or cautious</w:t>
      </w:r>
      <w:r w:rsidR="009F6C5B">
        <w:rPr>
          <w:rFonts w:ascii="Arial" w:eastAsia="Calibri" w:hAnsi="Arial" w:cs="Arial"/>
          <w:color w:val="696969"/>
          <w:sz w:val="20"/>
          <w:szCs w:val="22"/>
          <w:lang w:eastAsia="en-US" w:bidi="en-US"/>
        </w:rPr>
        <w:t xml:space="preserve"> investment strategy which has little to no exposure </w:t>
      </w:r>
      <w:r w:rsidR="006F406A">
        <w:rPr>
          <w:rFonts w:ascii="Arial" w:eastAsia="Calibri" w:hAnsi="Arial" w:cs="Arial"/>
          <w:color w:val="696969"/>
          <w:sz w:val="20"/>
          <w:szCs w:val="22"/>
          <w:lang w:eastAsia="en-US" w:bidi="en-US"/>
        </w:rPr>
        <w:t>in</w:t>
      </w:r>
      <w:r w:rsidR="009F6C5B">
        <w:rPr>
          <w:rFonts w:ascii="Arial" w:eastAsia="Calibri" w:hAnsi="Arial" w:cs="Arial"/>
          <w:color w:val="696969"/>
          <w:sz w:val="20"/>
          <w:szCs w:val="22"/>
          <w:lang w:eastAsia="en-US" w:bidi="en-US"/>
        </w:rPr>
        <w:t xml:space="preserve"> equities.  Second</w:t>
      </w:r>
      <w:r>
        <w:rPr>
          <w:rFonts w:ascii="Arial" w:eastAsia="Calibri" w:hAnsi="Arial" w:cs="Arial"/>
          <w:color w:val="696969"/>
          <w:sz w:val="20"/>
          <w:szCs w:val="22"/>
          <w:lang w:eastAsia="en-US" w:bidi="en-US"/>
        </w:rPr>
        <w:t xml:space="preserve">, </w:t>
      </w:r>
      <w:r w:rsidR="009F6C5B">
        <w:rPr>
          <w:rFonts w:ascii="Arial" w:eastAsia="Calibri" w:hAnsi="Arial" w:cs="Arial"/>
          <w:color w:val="696969"/>
          <w:sz w:val="20"/>
          <w:szCs w:val="22"/>
          <w:lang w:eastAsia="en-US" w:bidi="en-US"/>
        </w:rPr>
        <w:t xml:space="preserve">the individuals already have the flexibility/freedom to voluntarily withdraw higher amounts than the minimum percentage set by regulators. The election to only receive the minimum amount assists with managing longevity risk.  Third, the minimum payment is </w:t>
      </w:r>
      <w:r w:rsidR="006F406A">
        <w:rPr>
          <w:rFonts w:ascii="Arial" w:eastAsia="Calibri" w:hAnsi="Arial" w:cs="Arial"/>
          <w:color w:val="696969"/>
          <w:sz w:val="20"/>
          <w:szCs w:val="22"/>
          <w:lang w:eastAsia="en-US" w:bidi="en-US"/>
        </w:rPr>
        <w:t>calculated/</w:t>
      </w:r>
      <w:r w:rsidR="009F6C5B">
        <w:rPr>
          <w:rFonts w:ascii="Arial" w:eastAsia="Calibri" w:hAnsi="Arial" w:cs="Arial"/>
          <w:color w:val="696969"/>
          <w:sz w:val="20"/>
          <w:szCs w:val="22"/>
          <w:lang w:eastAsia="en-US" w:bidi="en-US"/>
        </w:rPr>
        <w:t>reset each financial year based on the opening balance of the pension assets, so a higher drawdown amount would automatically occur in instances where returns were greater than withdrawals in the prior year.  Fourth, history shows that where there are ‘bubbles’ in the market, they are closely followed by ‘corrections’</w:t>
      </w:r>
      <w:r w:rsidR="006F406A">
        <w:rPr>
          <w:rFonts w:ascii="Arial" w:eastAsia="Calibri" w:hAnsi="Arial" w:cs="Arial"/>
          <w:color w:val="696969"/>
          <w:sz w:val="20"/>
          <w:szCs w:val="22"/>
          <w:lang w:eastAsia="en-US" w:bidi="en-US"/>
        </w:rPr>
        <w:t>.  The real possibility of having three different minimum payment percentages across three consecutive financial years would add more public confusion and uncertainty, resulting in a greater reluctance to enter into these retirement income stream products in future.</w:t>
      </w:r>
    </w:p>
    <w:p w:rsidR="006F406A" w:rsidRPr="00B429E2" w:rsidRDefault="006F406A" w:rsidP="006F406A">
      <w:pPr>
        <w:pStyle w:val="BoxText"/>
        <w:rPr>
          <w:i/>
          <w:szCs w:val="22"/>
        </w:rPr>
      </w:pPr>
      <w:r w:rsidRPr="00B429E2">
        <w:rPr>
          <w:b/>
          <w:i/>
          <w:szCs w:val="22"/>
        </w:rPr>
        <w:t xml:space="preserve">Question 15: </w:t>
      </w:r>
      <w:r w:rsidRPr="00B429E2">
        <w:rPr>
          <w:i/>
          <w:szCs w:val="22"/>
        </w:rPr>
        <w:t>For how long should the change remain in place? Should it be left in place only for the year in which the shock occurs, or until balances have ‘recovered’ by a particular e</w:t>
      </w:r>
      <w:r w:rsidR="005A2C2B">
        <w:rPr>
          <w:i/>
          <w:szCs w:val="22"/>
        </w:rPr>
        <w:t>v</w:t>
      </w:r>
      <w:r w:rsidRPr="00B429E2">
        <w:rPr>
          <w:i/>
          <w:szCs w:val="22"/>
        </w:rPr>
        <w:t>ent?</w:t>
      </w:r>
    </w:p>
    <w:p w:rsidR="00B255D5" w:rsidRPr="004D26B5" w:rsidRDefault="006F406A" w:rsidP="004D26B5">
      <w:pPr>
        <w:pStyle w:val="BoxText"/>
        <w:rPr>
          <w:rFonts w:ascii="Arial" w:eastAsia="Calibri" w:hAnsi="Arial" w:cs="Arial"/>
          <w:color w:val="696969"/>
          <w:sz w:val="20"/>
          <w:szCs w:val="22"/>
          <w:lang w:eastAsia="en-US" w:bidi="en-US"/>
        </w:rPr>
      </w:pPr>
      <w:r>
        <w:rPr>
          <w:rFonts w:ascii="Arial" w:eastAsia="Calibri" w:hAnsi="Arial" w:cs="Arial"/>
          <w:color w:val="696969"/>
          <w:sz w:val="20"/>
          <w:szCs w:val="22"/>
          <w:lang w:eastAsia="en-US" w:bidi="en-US"/>
        </w:rPr>
        <w:t xml:space="preserve">It is the view of the </w:t>
      </w:r>
      <w:r w:rsidRPr="004D26B5">
        <w:rPr>
          <w:rFonts w:ascii="Arial" w:eastAsia="Calibri" w:hAnsi="Arial" w:cs="Arial"/>
          <w:color w:val="696969"/>
          <w:sz w:val="20"/>
          <w:szCs w:val="22"/>
          <w:lang w:eastAsia="en-US" w:bidi="en-US"/>
        </w:rPr>
        <w:t>Institute of Public Accountants</w:t>
      </w:r>
      <w:r>
        <w:rPr>
          <w:rFonts w:ascii="Arial" w:eastAsia="Calibri" w:hAnsi="Arial" w:cs="Arial"/>
          <w:color w:val="696969"/>
          <w:sz w:val="20"/>
          <w:szCs w:val="22"/>
          <w:lang w:eastAsia="en-US" w:bidi="en-US"/>
        </w:rPr>
        <w:t xml:space="preserve"> that </w:t>
      </w:r>
      <w:r w:rsidR="005A2C2B">
        <w:rPr>
          <w:rFonts w:ascii="Arial" w:eastAsia="Calibri" w:hAnsi="Arial" w:cs="Arial"/>
          <w:color w:val="696969"/>
          <w:sz w:val="20"/>
          <w:szCs w:val="22"/>
          <w:lang w:eastAsia="en-US" w:bidi="en-US"/>
        </w:rPr>
        <w:t xml:space="preserve">change to the minimum payment percentages should be in place for a year after the recovery of the particular shock, as determined by the mechanism put in place to measure </w:t>
      </w:r>
      <w:r w:rsidR="004C20D8">
        <w:rPr>
          <w:rFonts w:ascii="Arial" w:eastAsia="Calibri" w:hAnsi="Arial" w:cs="Arial"/>
          <w:color w:val="696969"/>
          <w:sz w:val="20"/>
          <w:szCs w:val="22"/>
          <w:lang w:eastAsia="en-US" w:bidi="en-US"/>
        </w:rPr>
        <w:t xml:space="preserve">such shocks </w:t>
      </w:r>
      <w:r w:rsidR="005A2C2B">
        <w:rPr>
          <w:rFonts w:ascii="Arial" w:eastAsia="Calibri" w:hAnsi="Arial" w:cs="Arial"/>
          <w:color w:val="696969"/>
          <w:sz w:val="20"/>
          <w:szCs w:val="22"/>
          <w:lang w:eastAsia="en-US" w:bidi="en-US"/>
        </w:rPr>
        <w:t>(</w:t>
      </w:r>
      <w:r w:rsidR="004C20D8">
        <w:rPr>
          <w:rFonts w:ascii="Arial" w:eastAsia="Calibri" w:hAnsi="Arial" w:cs="Arial"/>
          <w:color w:val="696969"/>
          <w:sz w:val="20"/>
          <w:szCs w:val="22"/>
          <w:lang w:eastAsia="en-US" w:bidi="en-US"/>
        </w:rPr>
        <w:t xml:space="preserve">with </w:t>
      </w:r>
      <w:r w:rsidR="005A2C2B">
        <w:rPr>
          <w:rFonts w:ascii="Arial" w:eastAsia="Calibri" w:hAnsi="Arial" w:cs="Arial"/>
          <w:color w:val="696969"/>
          <w:sz w:val="20"/>
          <w:szCs w:val="22"/>
          <w:lang w:eastAsia="en-US" w:bidi="en-US"/>
        </w:rPr>
        <w:t xml:space="preserve">the ASX 200 Index </w:t>
      </w:r>
      <w:r w:rsidR="004C20D8">
        <w:rPr>
          <w:rFonts w:ascii="Arial" w:eastAsia="Calibri" w:hAnsi="Arial" w:cs="Arial"/>
          <w:color w:val="696969"/>
          <w:sz w:val="20"/>
          <w:szCs w:val="22"/>
          <w:lang w:eastAsia="en-US" w:bidi="en-US"/>
        </w:rPr>
        <w:t>being</w:t>
      </w:r>
      <w:r w:rsidR="005A2C2B">
        <w:rPr>
          <w:rFonts w:ascii="Arial" w:eastAsia="Calibri" w:hAnsi="Arial" w:cs="Arial"/>
          <w:color w:val="696969"/>
          <w:sz w:val="20"/>
          <w:szCs w:val="22"/>
          <w:lang w:eastAsia="en-US" w:bidi="en-US"/>
        </w:rPr>
        <w:t xml:space="preserve"> the Institute’s recommendation in response to question 13).  That is, </w:t>
      </w:r>
      <w:r w:rsidR="004B6A5F">
        <w:rPr>
          <w:rFonts w:ascii="Arial" w:eastAsia="Calibri" w:hAnsi="Arial" w:cs="Arial"/>
          <w:color w:val="696969"/>
          <w:sz w:val="20"/>
          <w:szCs w:val="22"/>
          <w:lang w:eastAsia="en-US" w:bidi="en-US"/>
        </w:rPr>
        <w:t xml:space="preserve">say </w:t>
      </w:r>
      <w:r w:rsidR="005A2C2B">
        <w:rPr>
          <w:rFonts w:ascii="Arial" w:eastAsia="Calibri" w:hAnsi="Arial" w:cs="Arial"/>
          <w:color w:val="696969"/>
          <w:sz w:val="20"/>
          <w:szCs w:val="22"/>
          <w:lang w:eastAsia="en-US" w:bidi="en-US"/>
        </w:rPr>
        <w:t xml:space="preserve">if it takes two years for the ASX 200 Index to </w:t>
      </w:r>
      <w:r w:rsidR="004B6A5F">
        <w:rPr>
          <w:rFonts w:ascii="Arial" w:eastAsia="Calibri" w:hAnsi="Arial" w:cs="Arial"/>
          <w:color w:val="696969"/>
          <w:sz w:val="20"/>
          <w:szCs w:val="22"/>
          <w:lang w:eastAsia="en-US" w:bidi="en-US"/>
        </w:rPr>
        <w:t xml:space="preserve">return to prior levels, then the Institute recommends three years for the change to remain in place.  </w:t>
      </w:r>
      <w:r w:rsidR="005A2C2B">
        <w:rPr>
          <w:rFonts w:ascii="Arial" w:eastAsia="Calibri" w:hAnsi="Arial" w:cs="Arial"/>
          <w:color w:val="696969"/>
          <w:sz w:val="20"/>
          <w:szCs w:val="22"/>
          <w:lang w:eastAsia="en-US" w:bidi="en-US"/>
        </w:rPr>
        <w:t xml:space="preserve">The rationale for this response is </w:t>
      </w:r>
      <w:r w:rsidR="004B6A5F">
        <w:rPr>
          <w:rFonts w:ascii="Arial" w:eastAsia="Calibri" w:hAnsi="Arial" w:cs="Arial"/>
          <w:color w:val="696969"/>
          <w:sz w:val="20"/>
          <w:szCs w:val="22"/>
          <w:lang w:eastAsia="en-US" w:bidi="en-US"/>
        </w:rPr>
        <w:t xml:space="preserve">twofold.  First, </w:t>
      </w:r>
      <w:r w:rsidR="005A2C2B">
        <w:rPr>
          <w:rFonts w:ascii="Arial" w:eastAsia="Calibri" w:hAnsi="Arial" w:cs="Arial"/>
          <w:color w:val="696969"/>
          <w:sz w:val="20"/>
          <w:szCs w:val="22"/>
          <w:lang w:eastAsia="en-US" w:bidi="en-US"/>
        </w:rPr>
        <w:t xml:space="preserve">individuals will still have the option to voluntarily withdraw a higher amount than the minimum percentage set by regulators based on their own particular circumstances and needs.  </w:t>
      </w:r>
      <w:r w:rsidR="004B6A5F">
        <w:rPr>
          <w:rFonts w:ascii="Arial" w:eastAsia="Calibri" w:hAnsi="Arial" w:cs="Arial"/>
          <w:color w:val="696969"/>
          <w:sz w:val="20"/>
          <w:szCs w:val="22"/>
          <w:lang w:eastAsia="en-US" w:bidi="en-US"/>
        </w:rPr>
        <w:t xml:space="preserve">Second, returns from a diminishing asset base will take longer to recover than if the asset was left </w:t>
      </w:r>
      <w:r w:rsidR="004C20D8">
        <w:rPr>
          <w:rFonts w:ascii="Arial" w:eastAsia="Calibri" w:hAnsi="Arial" w:cs="Arial"/>
          <w:color w:val="696969"/>
          <w:sz w:val="20"/>
          <w:szCs w:val="22"/>
          <w:lang w:eastAsia="en-US" w:bidi="en-US"/>
        </w:rPr>
        <w:t xml:space="preserve">wholly </w:t>
      </w:r>
      <w:r w:rsidR="004B6A5F">
        <w:rPr>
          <w:rFonts w:ascii="Arial" w:eastAsia="Calibri" w:hAnsi="Arial" w:cs="Arial"/>
          <w:color w:val="696969"/>
          <w:sz w:val="20"/>
          <w:szCs w:val="22"/>
          <w:lang w:eastAsia="en-US" w:bidi="en-US"/>
        </w:rPr>
        <w:t>untouched.</w:t>
      </w:r>
    </w:p>
    <w:p w:rsidR="00DF4926" w:rsidRPr="00056F73" w:rsidRDefault="00DF4926" w:rsidP="002861E4">
      <w:pPr>
        <w:rPr>
          <w:rFonts w:ascii="Arial" w:hAnsi="Arial" w:cs="Arial"/>
          <w:sz w:val="20"/>
          <w:szCs w:val="20"/>
          <w:lang w:val="en-AU"/>
        </w:rPr>
      </w:pPr>
    </w:p>
    <w:p w:rsidR="00DF4926" w:rsidRPr="005326B9" w:rsidRDefault="00DF4926" w:rsidP="002861E4">
      <w:pPr>
        <w:rPr>
          <w:rFonts w:ascii="Arial" w:hAnsi="Arial" w:cs="Arial"/>
          <w:color w:val="FF0000"/>
          <w:sz w:val="20"/>
          <w:szCs w:val="20"/>
          <w:lang w:val="en-AU"/>
        </w:rPr>
      </w:pPr>
      <w:bookmarkStart w:id="15" w:name="BM28"/>
      <w:bookmarkEnd w:id="15"/>
    </w:p>
    <w:p w:rsidR="00DF4926" w:rsidRPr="00645004" w:rsidRDefault="00DF4926" w:rsidP="002861E4">
      <w:pPr>
        <w:rPr>
          <w:rFonts w:ascii="Arial" w:hAnsi="Arial" w:cs="Arial"/>
          <w:color w:val="696969"/>
          <w:sz w:val="20"/>
          <w:szCs w:val="20"/>
          <w:lang w:val="en-AU"/>
        </w:rPr>
      </w:pPr>
    </w:p>
    <w:p w:rsidR="00DF4926" w:rsidRPr="00645004" w:rsidRDefault="00DF4926" w:rsidP="002861E4">
      <w:pPr>
        <w:rPr>
          <w:rFonts w:ascii="Arial" w:hAnsi="Arial" w:cs="Arial"/>
          <w:color w:val="696969"/>
          <w:sz w:val="20"/>
          <w:szCs w:val="20"/>
          <w:lang w:val="en-AU"/>
        </w:rPr>
      </w:pPr>
    </w:p>
    <w:p w:rsidR="00B255D5" w:rsidRPr="00056F73" w:rsidRDefault="00FB658B" w:rsidP="006F406A">
      <w:pPr>
        <w:pStyle w:val="IPAHeading"/>
        <w:rPr>
          <w:i/>
        </w:rPr>
      </w:pPr>
      <w:bookmarkStart w:id="16" w:name="_Toc314836499"/>
      <w:bookmarkStart w:id="17" w:name="_Toc314836679"/>
      <w:r>
        <w:br w:type="page"/>
      </w:r>
      <w:bookmarkEnd w:id="16"/>
      <w:bookmarkEnd w:id="17"/>
    </w:p>
    <w:p w:rsidR="00B255D5" w:rsidRDefault="00B255D5" w:rsidP="002861E4">
      <w:pPr>
        <w:rPr>
          <w:rFonts w:ascii="Arial" w:hAnsi="Arial" w:cs="Arial"/>
          <w:b/>
          <w:color w:val="696969"/>
          <w:sz w:val="20"/>
          <w:szCs w:val="20"/>
          <w:lang w:val="en-AU"/>
        </w:rPr>
      </w:pPr>
    </w:p>
    <w:p w:rsidR="00B255D5" w:rsidRDefault="00B255D5" w:rsidP="002861E4">
      <w:pPr>
        <w:rPr>
          <w:rFonts w:ascii="Arial" w:hAnsi="Arial" w:cs="Arial"/>
          <w:b/>
          <w:color w:val="696969"/>
          <w:sz w:val="20"/>
          <w:szCs w:val="20"/>
          <w:lang w:val="en-AU"/>
        </w:rPr>
      </w:pPr>
    </w:p>
    <w:p w:rsidR="00033996" w:rsidRPr="0067475E" w:rsidRDefault="00033996" w:rsidP="00FC29E7">
      <w:pPr>
        <w:pStyle w:val="IPAHeading"/>
      </w:pPr>
      <w:bookmarkStart w:id="18" w:name="BM37"/>
      <w:bookmarkStart w:id="19" w:name="_Toc397555054"/>
      <w:bookmarkStart w:id="20" w:name="_Toc378769665"/>
      <w:bookmarkEnd w:id="18"/>
      <w:r>
        <w:t xml:space="preserve">4.0 </w:t>
      </w:r>
      <w:r w:rsidRPr="0067475E">
        <w:t>A</w:t>
      </w:r>
      <w:r w:rsidR="00E76C39">
        <w:t xml:space="preserve">ppendix </w:t>
      </w:r>
      <w:r w:rsidR="0057597D">
        <w:t>for</w:t>
      </w:r>
      <w:r w:rsidR="00E76C39">
        <w:t xml:space="preserve"> response to question 12</w:t>
      </w:r>
      <w:bookmarkEnd w:id="19"/>
    </w:p>
    <w:p w:rsidR="00033996" w:rsidRPr="0067475E" w:rsidRDefault="00033996" w:rsidP="00033996">
      <w:pPr>
        <w:rPr>
          <w:rFonts w:ascii="Arial" w:hAnsi="Arial" w:cs="Arial"/>
          <w:b/>
          <w:color w:val="696969"/>
          <w:sz w:val="20"/>
          <w:szCs w:val="20"/>
          <w:lang w:val="en-AU"/>
        </w:rPr>
      </w:pPr>
    </w:p>
    <w:p w:rsidR="00033996" w:rsidRPr="00E76C39" w:rsidRDefault="00033996" w:rsidP="00E76C39">
      <w:pPr>
        <w:rPr>
          <w:rFonts w:ascii="Arial" w:hAnsi="Arial" w:cs="Arial"/>
          <w:b/>
          <w:color w:val="696969"/>
          <w:sz w:val="20"/>
          <w:szCs w:val="20"/>
          <w:lang w:val="en-AU"/>
        </w:rPr>
      </w:pPr>
      <w:bookmarkStart w:id="21" w:name="_Toc378769661"/>
      <w:r w:rsidRPr="00E76C39">
        <w:rPr>
          <w:rFonts w:ascii="Arial" w:hAnsi="Arial" w:cs="Arial"/>
          <w:b/>
          <w:color w:val="696969"/>
          <w:sz w:val="20"/>
          <w:szCs w:val="20"/>
          <w:lang w:val="en-AU"/>
        </w:rPr>
        <w:t>Rationale and discussion paper: Soft compulsion for purchase of annuity and pension products by retirees</w:t>
      </w:r>
      <w:bookmarkEnd w:id="21"/>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The Institute believes </w:t>
      </w:r>
      <w:proofErr w:type="spellStart"/>
      <w:r w:rsidRPr="0067475E">
        <w:rPr>
          <w:rFonts w:ascii="Arial" w:hAnsi="Arial" w:cs="Arial"/>
          <w:color w:val="696969"/>
          <w:sz w:val="20"/>
          <w:szCs w:val="20"/>
          <w:lang w:val="en-AU"/>
        </w:rPr>
        <w:t>MySuper</w:t>
      </w:r>
      <w:proofErr w:type="spellEnd"/>
      <w:r w:rsidRPr="0067475E">
        <w:rPr>
          <w:rFonts w:ascii="Arial" w:hAnsi="Arial" w:cs="Arial"/>
          <w:color w:val="696969"/>
          <w:sz w:val="20"/>
          <w:szCs w:val="20"/>
          <w:lang w:val="en-AU"/>
        </w:rPr>
        <w:t xml:space="preserve"> account holders should be encouraged to invest the majority of their retirement benefits into an annuity or another similar pension product.  </w:t>
      </w:r>
    </w:p>
    <w:p w:rsidR="00033996" w:rsidRPr="0067475E" w:rsidRDefault="00033996" w:rsidP="00E0370E">
      <w:pPr>
        <w:jc w:val="both"/>
        <w:rPr>
          <w:rFonts w:ascii="Arial" w:hAnsi="Arial" w:cs="Arial"/>
          <w:color w:val="696969"/>
          <w:sz w:val="20"/>
          <w:szCs w:val="20"/>
          <w:lang w:val="en-AU"/>
        </w:rPr>
      </w:pPr>
    </w:p>
    <w:p w:rsidR="00033996"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The Institute believes that:</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pStyle w:val="ListParagraph"/>
        <w:numPr>
          <w:ilvl w:val="0"/>
          <w:numId w:val="37"/>
        </w:numPr>
        <w:spacing w:after="0" w:line="240" w:lineRule="auto"/>
        <w:jc w:val="both"/>
        <w:rPr>
          <w:rFonts w:ascii="Arial" w:hAnsi="Arial" w:cs="Arial"/>
          <w:color w:val="696969"/>
          <w:sz w:val="20"/>
          <w:szCs w:val="20"/>
        </w:rPr>
      </w:pPr>
      <w:r w:rsidRPr="0067475E">
        <w:rPr>
          <w:rFonts w:ascii="Arial" w:hAnsi="Arial" w:cs="Arial"/>
          <w:color w:val="696969"/>
          <w:sz w:val="20"/>
          <w:szCs w:val="20"/>
        </w:rPr>
        <w:t>this better reflects the underlying intention of a robust superannuation scheme; being the promotion of financial independence for retirees and reduced reliance on the State;</w:t>
      </w:r>
    </w:p>
    <w:p w:rsidR="00033996" w:rsidRPr="0067475E" w:rsidRDefault="00033996" w:rsidP="00E0370E">
      <w:pPr>
        <w:pStyle w:val="ListParagraph"/>
        <w:numPr>
          <w:ilvl w:val="0"/>
          <w:numId w:val="37"/>
        </w:numPr>
        <w:spacing w:after="0" w:line="240" w:lineRule="auto"/>
        <w:jc w:val="both"/>
        <w:rPr>
          <w:rFonts w:ascii="Arial" w:hAnsi="Arial" w:cs="Arial"/>
          <w:color w:val="696969"/>
          <w:sz w:val="20"/>
          <w:szCs w:val="20"/>
        </w:rPr>
      </w:pPr>
      <w:r w:rsidRPr="0067475E">
        <w:rPr>
          <w:rFonts w:ascii="Arial" w:hAnsi="Arial" w:cs="Arial"/>
          <w:color w:val="696969"/>
          <w:sz w:val="20"/>
          <w:szCs w:val="20"/>
        </w:rPr>
        <w:t xml:space="preserve">this is consistent with compulsion which currently underpins the </w:t>
      </w:r>
      <w:proofErr w:type="spellStart"/>
      <w:r w:rsidRPr="0067475E">
        <w:rPr>
          <w:rFonts w:ascii="Arial" w:hAnsi="Arial" w:cs="Arial"/>
          <w:color w:val="696969"/>
          <w:sz w:val="20"/>
          <w:szCs w:val="20"/>
        </w:rPr>
        <w:t>MySuper</w:t>
      </w:r>
      <w:proofErr w:type="spellEnd"/>
      <w:r w:rsidRPr="0067475E">
        <w:rPr>
          <w:rFonts w:ascii="Arial" w:hAnsi="Arial" w:cs="Arial"/>
          <w:color w:val="696969"/>
          <w:sz w:val="20"/>
          <w:szCs w:val="20"/>
        </w:rPr>
        <w:t xml:space="preserve"> system; and</w:t>
      </w:r>
    </w:p>
    <w:p w:rsidR="00033996" w:rsidRPr="0067475E" w:rsidRDefault="00033996" w:rsidP="00E0370E">
      <w:pPr>
        <w:pStyle w:val="ListParagraph"/>
        <w:numPr>
          <w:ilvl w:val="0"/>
          <w:numId w:val="37"/>
        </w:numPr>
        <w:spacing w:after="0" w:line="240" w:lineRule="auto"/>
        <w:jc w:val="both"/>
        <w:rPr>
          <w:rFonts w:ascii="Arial" w:hAnsi="Arial" w:cs="Arial"/>
          <w:color w:val="696969"/>
          <w:sz w:val="20"/>
          <w:szCs w:val="20"/>
        </w:rPr>
      </w:pPr>
      <w:r w:rsidRPr="0067475E">
        <w:rPr>
          <w:rFonts w:ascii="Arial" w:hAnsi="Arial" w:cs="Arial"/>
          <w:color w:val="696969"/>
          <w:sz w:val="20"/>
          <w:szCs w:val="20"/>
        </w:rPr>
        <w:t xml:space="preserve">Soft-compulsion will ultimately promote better member outcomes and is better public policy. </w:t>
      </w:r>
    </w:p>
    <w:p w:rsidR="00033996" w:rsidRPr="0067475E" w:rsidRDefault="00033996" w:rsidP="00E0370E">
      <w:pPr>
        <w:jc w:val="both"/>
        <w:rPr>
          <w:rFonts w:ascii="Arial" w:hAnsi="Arial" w:cs="Arial"/>
          <w:i/>
          <w:color w:val="696969"/>
          <w:sz w:val="20"/>
          <w:szCs w:val="20"/>
          <w:lang w:val="en-AU"/>
        </w:rPr>
      </w:pPr>
    </w:p>
    <w:p w:rsidR="00033996" w:rsidRPr="00E76C39" w:rsidRDefault="00033996" w:rsidP="00E76C39">
      <w:pPr>
        <w:rPr>
          <w:rFonts w:ascii="Arial" w:hAnsi="Arial" w:cs="Arial"/>
          <w:b/>
          <w:i/>
          <w:color w:val="696969"/>
          <w:sz w:val="20"/>
          <w:szCs w:val="20"/>
          <w:lang w:val="en-AU"/>
        </w:rPr>
      </w:pPr>
      <w:bookmarkStart w:id="22" w:name="_Toc378769662"/>
      <w:r w:rsidRPr="00E76C39">
        <w:rPr>
          <w:rFonts w:ascii="Arial" w:hAnsi="Arial" w:cs="Arial"/>
          <w:b/>
          <w:i/>
          <w:color w:val="696969"/>
          <w:sz w:val="20"/>
          <w:szCs w:val="20"/>
          <w:lang w:val="en-AU"/>
        </w:rPr>
        <w:t>Superannuation system rationale</w:t>
      </w:r>
      <w:bookmarkEnd w:id="22"/>
    </w:p>
    <w:p w:rsidR="00033996" w:rsidRPr="0067475E" w:rsidRDefault="00033996" w:rsidP="00E0370E">
      <w:pPr>
        <w:jc w:val="both"/>
        <w:rPr>
          <w:rFonts w:ascii="Arial" w:hAnsi="Arial" w:cs="Arial"/>
          <w:color w:val="696969"/>
          <w:sz w:val="20"/>
          <w:szCs w:val="20"/>
          <w:lang w:val="en-AU"/>
        </w:rPr>
      </w:pPr>
    </w:p>
    <w:p w:rsidR="00033996"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The primary purpose of any superannuation system is not the accumulation of funds but the provision of retirement incomes and long term reduced retiree reliance on government financial support.</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i/>
          <w:color w:val="696969"/>
          <w:sz w:val="20"/>
          <w:szCs w:val="20"/>
          <w:lang w:val="en-AU"/>
        </w:rPr>
      </w:pPr>
      <w:r w:rsidRPr="0067475E">
        <w:rPr>
          <w:rFonts w:ascii="Arial" w:hAnsi="Arial" w:cs="Arial"/>
          <w:color w:val="696969"/>
          <w:sz w:val="20"/>
          <w:szCs w:val="20"/>
          <w:lang w:val="en-AU"/>
        </w:rPr>
        <w:t xml:space="preserve">This purpose was formally acknowledged in the </w:t>
      </w:r>
      <w:r w:rsidRPr="0067475E">
        <w:rPr>
          <w:rFonts w:ascii="Arial" w:hAnsi="Arial" w:cs="Arial"/>
          <w:i/>
          <w:color w:val="696969"/>
          <w:sz w:val="20"/>
          <w:szCs w:val="20"/>
          <w:lang w:val="en-AU"/>
        </w:rPr>
        <w:t>Super System Review – Final Report</w:t>
      </w:r>
      <w:r>
        <w:rPr>
          <w:rFonts w:ascii="Arial" w:hAnsi="Arial" w:cs="Arial"/>
          <w:i/>
          <w:color w:val="696969"/>
          <w:sz w:val="20"/>
          <w:szCs w:val="20"/>
          <w:lang w:val="en-AU"/>
        </w:rPr>
        <w:t xml:space="preserve"> </w:t>
      </w:r>
      <w:r w:rsidRPr="0067475E">
        <w:rPr>
          <w:rFonts w:ascii="Arial" w:hAnsi="Arial" w:cs="Arial"/>
          <w:i/>
          <w:color w:val="696969"/>
          <w:sz w:val="20"/>
          <w:szCs w:val="20"/>
          <w:lang w:val="en-AU"/>
        </w:rPr>
        <w:t xml:space="preserve">“...the retirement phase of a person’s participation in the superannuation system </w:t>
      </w:r>
      <w:r w:rsidRPr="0067475E">
        <w:rPr>
          <w:rFonts w:ascii="Arial" w:hAnsi="Arial" w:cs="Arial"/>
          <w:b/>
          <w:i/>
          <w:color w:val="696969"/>
          <w:sz w:val="20"/>
          <w:szCs w:val="20"/>
          <w:lang w:val="en-AU"/>
        </w:rPr>
        <w:t xml:space="preserve">is the key purpose </w:t>
      </w:r>
      <w:r w:rsidRPr="0067475E">
        <w:rPr>
          <w:rFonts w:ascii="Arial" w:hAnsi="Arial" w:cs="Arial"/>
          <w:color w:val="696969"/>
          <w:sz w:val="20"/>
          <w:szCs w:val="20"/>
          <w:lang w:val="en-AU"/>
        </w:rPr>
        <w:t>[emphasis added]</w:t>
      </w:r>
      <w:r w:rsidRPr="0067475E">
        <w:rPr>
          <w:rFonts w:ascii="Arial" w:hAnsi="Arial" w:cs="Arial"/>
          <w:i/>
          <w:color w:val="696969"/>
          <w:sz w:val="20"/>
          <w:szCs w:val="20"/>
          <w:lang w:val="en-AU"/>
        </w:rPr>
        <w:t xml:space="preserve"> for the accumulation of superannuation savings.”</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It is accordingly incongruous that the current superannuation system is largely focused on the accumulation phase with very little policy addressing the retirement or benefit phase.</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A key driver behind the establishment of the superannuation system was recognition that an ageing population would place significant financial stress on </w:t>
      </w:r>
      <w:r>
        <w:rPr>
          <w:rFonts w:ascii="Arial" w:hAnsi="Arial" w:cs="Arial"/>
          <w:color w:val="696969"/>
          <w:sz w:val="20"/>
          <w:szCs w:val="20"/>
          <w:lang w:val="en-AU"/>
        </w:rPr>
        <w:t>Federal</w:t>
      </w:r>
      <w:r w:rsidRPr="0067475E">
        <w:rPr>
          <w:rFonts w:ascii="Arial" w:hAnsi="Arial" w:cs="Arial"/>
          <w:color w:val="696969"/>
          <w:sz w:val="20"/>
          <w:szCs w:val="20"/>
          <w:lang w:val="en-AU"/>
        </w:rPr>
        <w:t xml:space="preserve"> governments in the near future.</w:t>
      </w:r>
    </w:p>
    <w:p w:rsidR="00033996" w:rsidRPr="0067475E" w:rsidRDefault="00033996" w:rsidP="00E0370E">
      <w:pPr>
        <w:jc w:val="both"/>
        <w:rPr>
          <w:rFonts w:ascii="Arial" w:hAnsi="Arial" w:cs="Arial"/>
          <w:color w:val="696969"/>
          <w:sz w:val="20"/>
          <w:szCs w:val="20"/>
          <w:lang w:val="en-AU"/>
        </w:rPr>
      </w:pPr>
    </w:p>
    <w:p w:rsidR="00033996"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The </w:t>
      </w:r>
      <w:r w:rsidRPr="0067475E">
        <w:rPr>
          <w:rFonts w:ascii="Arial" w:hAnsi="Arial" w:cs="Arial"/>
          <w:i/>
          <w:color w:val="696969"/>
          <w:sz w:val="20"/>
          <w:szCs w:val="20"/>
          <w:lang w:val="en-AU"/>
        </w:rPr>
        <w:t>Intergenerational Report</w:t>
      </w:r>
      <w:r w:rsidRPr="0067475E">
        <w:rPr>
          <w:rFonts w:ascii="Arial" w:hAnsi="Arial" w:cs="Arial"/>
          <w:color w:val="696969"/>
          <w:sz w:val="20"/>
          <w:szCs w:val="20"/>
          <w:lang w:val="en-AU"/>
        </w:rPr>
        <w:t xml:space="preserve"> of 2010 forecasted that by 2030 the costs of the government age pension and health care for the elderly would push governments into fiscal deficit.  As a proportion of Australian GDP; health care, aged care and pensions will increase from 8</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in 2010 to 13</w:t>
      </w:r>
      <w:r>
        <w:rPr>
          <w:rFonts w:ascii="Arial" w:hAnsi="Arial" w:cs="Arial"/>
          <w:color w:val="696969"/>
          <w:sz w:val="20"/>
          <w:szCs w:val="20"/>
          <w:lang w:val="en-AU"/>
        </w:rPr>
        <w:t xml:space="preserve"> per cent </w:t>
      </w:r>
      <w:r w:rsidRPr="0067475E">
        <w:rPr>
          <w:rFonts w:ascii="Arial" w:hAnsi="Arial" w:cs="Arial"/>
          <w:color w:val="696969"/>
          <w:sz w:val="20"/>
          <w:szCs w:val="20"/>
          <w:lang w:val="en-AU"/>
        </w:rPr>
        <w:t>in 2030. The government share of GDP was expected to rise from 22.4</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in fiscal 2016 to 27.1</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in 2049/50.</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Furthermore</w:t>
      </w:r>
      <w:r>
        <w:rPr>
          <w:rFonts w:ascii="Arial" w:hAnsi="Arial" w:cs="Arial"/>
          <w:color w:val="696969"/>
          <w:sz w:val="20"/>
          <w:szCs w:val="20"/>
          <w:lang w:val="en-AU"/>
        </w:rPr>
        <w:t>,</w:t>
      </w:r>
      <w:r w:rsidRPr="0067475E">
        <w:rPr>
          <w:rFonts w:ascii="Arial" w:hAnsi="Arial" w:cs="Arial"/>
          <w:color w:val="696969"/>
          <w:sz w:val="20"/>
          <w:szCs w:val="20"/>
          <w:lang w:val="en-AU"/>
        </w:rPr>
        <w:t xml:space="preserve"> the number of people employed to those not working is expected to fall from around 5 to 1 today to 2.7 to 1 by 2050.  These figures at their most basic point to increased reliance on welfare; funded by a proportionately declining working age population shrinking workface and relative falling taxation base. </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If we accept that the principal policy intent of superannuation is to reduce the future costs of government funded pensions, it must also be accepted that current governments must develop policies which will ensure that when retirement is reached; monies have been wisely invested to ensure that adequate funds are available to at the very least defer demands on the public purse.</w:t>
      </w:r>
      <w:r w:rsidR="00FB118E">
        <w:rPr>
          <w:rFonts w:ascii="Arial" w:hAnsi="Arial" w:cs="Arial"/>
          <w:color w:val="696969"/>
          <w:sz w:val="20"/>
          <w:szCs w:val="20"/>
          <w:lang w:val="en-AU"/>
        </w:rPr>
        <w:t xml:space="preserve"> </w:t>
      </w:r>
      <w:r w:rsidRPr="0067475E">
        <w:rPr>
          <w:rFonts w:ascii="Arial" w:hAnsi="Arial" w:cs="Arial"/>
          <w:color w:val="696969"/>
          <w:sz w:val="20"/>
          <w:szCs w:val="20"/>
          <w:lang w:val="en-AU"/>
        </w:rPr>
        <w:t xml:space="preserve">We do not believe that current policy does this.  </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We believe the current tax free status of superannuation benefits and the ability of retirees to draw down the full amount as a lump sum and without restriction as to use; severely undermine the underlying policy intent of superannuation.</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The Institute therefore argues that policies need to be adopted that encourage retirees to take annuity or pension products upon retirement.</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The fiscal gap caused by an ageing population can be ameliorated by appropriate government policy.  </w:t>
      </w: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This can be shown by changes in the projected fiscal gap between the 2007 </w:t>
      </w:r>
      <w:r w:rsidRPr="0067475E">
        <w:rPr>
          <w:rFonts w:ascii="Arial" w:hAnsi="Arial" w:cs="Arial"/>
          <w:i/>
          <w:color w:val="696969"/>
          <w:sz w:val="20"/>
          <w:szCs w:val="20"/>
          <w:lang w:val="en-AU"/>
        </w:rPr>
        <w:t>Intergenerational Report</w:t>
      </w:r>
      <w:r w:rsidRPr="0067475E">
        <w:rPr>
          <w:rFonts w:ascii="Arial" w:hAnsi="Arial" w:cs="Arial"/>
          <w:color w:val="696969"/>
          <w:sz w:val="20"/>
          <w:szCs w:val="20"/>
          <w:lang w:val="en-AU"/>
        </w:rPr>
        <w:t xml:space="preserve"> and those projected in the 2010 </w:t>
      </w:r>
      <w:r w:rsidRPr="0067475E">
        <w:rPr>
          <w:rFonts w:ascii="Arial" w:hAnsi="Arial" w:cs="Arial"/>
          <w:i/>
          <w:color w:val="696969"/>
          <w:sz w:val="20"/>
          <w:szCs w:val="20"/>
          <w:lang w:val="en-AU"/>
        </w:rPr>
        <w:t>Intergenerational Report</w:t>
      </w:r>
      <w:r w:rsidRPr="0067475E">
        <w:rPr>
          <w:rFonts w:ascii="Arial" w:hAnsi="Arial" w:cs="Arial"/>
          <w:color w:val="696969"/>
          <w:sz w:val="20"/>
          <w:szCs w:val="20"/>
          <w:lang w:val="en-AU"/>
        </w:rPr>
        <w:t xml:space="preserve">.  In the 2007 report the fiscal deficit was </w:t>
      </w:r>
      <w:r w:rsidRPr="0067475E">
        <w:rPr>
          <w:rFonts w:ascii="Arial" w:hAnsi="Arial" w:cs="Arial"/>
          <w:color w:val="696969"/>
          <w:sz w:val="20"/>
          <w:szCs w:val="20"/>
          <w:lang w:val="en-AU"/>
        </w:rPr>
        <w:lastRenderedPageBreak/>
        <w:t xml:space="preserve">projected to commence in 2025, </w:t>
      </w:r>
      <w:r>
        <w:rPr>
          <w:rFonts w:ascii="Arial" w:hAnsi="Arial" w:cs="Arial"/>
          <w:color w:val="696969"/>
          <w:sz w:val="20"/>
          <w:szCs w:val="20"/>
          <w:lang w:val="en-AU"/>
        </w:rPr>
        <w:t>five</w:t>
      </w:r>
      <w:r w:rsidRPr="0067475E">
        <w:rPr>
          <w:rFonts w:ascii="Arial" w:hAnsi="Arial" w:cs="Arial"/>
          <w:color w:val="696969"/>
          <w:sz w:val="20"/>
          <w:szCs w:val="20"/>
          <w:lang w:val="en-AU"/>
        </w:rPr>
        <w:t xml:space="preserve"> years earlier than the 2010 report.  The major reason for this change was changes to superannuation policies between 2007 and 2010.</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We are of the view that the fiscal impact of an ageing population can be further ameliorated by ensuring that a large cohort of the retiring population are </w:t>
      </w:r>
      <w:r>
        <w:rPr>
          <w:rFonts w:ascii="Arial" w:hAnsi="Arial" w:cs="Arial"/>
          <w:color w:val="696969"/>
          <w:sz w:val="20"/>
          <w:szCs w:val="20"/>
          <w:lang w:val="en-AU"/>
        </w:rPr>
        <w:t xml:space="preserve">encouraged or incentivised </w:t>
      </w:r>
      <w:r w:rsidRPr="0067475E">
        <w:rPr>
          <w:rFonts w:ascii="Arial" w:hAnsi="Arial" w:cs="Arial"/>
          <w:color w:val="696969"/>
          <w:sz w:val="20"/>
          <w:szCs w:val="20"/>
          <w:lang w:val="en-AU"/>
        </w:rPr>
        <w:t xml:space="preserve">to draw an annuity or other pension product.    </w:t>
      </w: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 </w:t>
      </w:r>
    </w:p>
    <w:p w:rsidR="00033996" w:rsidRPr="00E76C39" w:rsidRDefault="00033996" w:rsidP="00E76C39">
      <w:pPr>
        <w:rPr>
          <w:rFonts w:ascii="Arial" w:hAnsi="Arial" w:cs="Arial"/>
          <w:b/>
          <w:i/>
          <w:color w:val="696969"/>
          <w:sz w:val="20"/>
          <w:szCs w:val="20"/>
          <w:lang w:val="en-AU"/>
        </w:rPr>
      </w:pPr>
      <w:bookmarkStart w:id="23" w:name="_Toc378769663"/>
      <w:r w:rsidRPr="00E76C39">
        <w:rPr>
          <w:rFonts w:ascii="Arial" w:hAnsi="Arial" w:cs="Arial"/>
          <w:b/>
          <w:i/>
          <w:color w:val="696969"/>
          <w:sz w:val="20"/>
          <w:szCs w:val="20"/>
          <w:lang w:val="en-AU"/>
        </w:rPr>
        <w:t>Soft-compulsion</w:t>
      </w:r>
      <w:bookmarkEnd w:id="23"/>
    </w:p>
    <w:p w:rsidR="00033996" w:rsidRPr="0067475E" w:rsidRDefault="00033996" w:rsidP="00E0370E">
      <w:pPr>
        <w:jc w:val="both"/>
        <w:rPr>
          <w:rFonts w:ascii="Arial" w:hAnsi="Arial" w:cs="Arial"/>
          <w:b/>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Compulsion is a fundamental facet of Australia’s superannuation system.  It is recognised that while people accept the need for retirement savings, many would not do so voluntarily without compulsion.  Without compulsion people would likely under-invest in their retirement futures.  </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The Australian government recognised this earlier than many other jurisdictions.  Accordingly, since 1992 contributions towards superannuation have been compulsory.  Since that time, minimum required contributions h</w:t>
      </w:r>
      <w:bookmarkStart w:id="24" w:name="_GoBack"/>
      <w:bookmarkEnd w:id="24"/>
      <w:r w:rsidRPr="0067475E">
        <w:rPr>
          <w:rFonts w:ascii="Arial" w:hAnsi="Arial" w:cs="Arial"/>
          <w:color w:val="696969"/>
          <w:sz w:val="20"/>
          <w:szCs w:val="20"/>
          <w:lang w:val="en-AU"/>
        </w:rPr>
        <w:t>ave risen from 4</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to 9</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and will eventually reach 12</w:t>
      </w:r>
      <w:r>
        <w:rPr>
          <w:rFonts w:ascii="Arial" w:hAnsi="Arial" w:cs="Arial"/>
          <w:color w:val="696969"/>
          <w:sz w:val="20"/>
          <w:szCs w:val="20"/>
          <w:lang w:val="en-AU"/>
        </w:rPr>
        <w:t xml:space="preserve"> per cent</w:t>
      </w:r>
      <w:r w:rsidR="001E1E85">
        <w:rPr>
          <w:rFonts w:ascii="Arial" w:hAnsi="Arial" w:cs="Arial"/>
          <w:color w:val="696969"/>
          <w:sz w:val="20"/>
          <w:szCs w:val="20"/>
          <w:lang w:val="en-AU"/>
        </w:rPr>
        <w:t xml:space="preserve"> from 1 July 2025</w:t>
      </w:r>
      <w:r w:rsidRPr="0067475E">
        <w:rPr>
          <w:rFonts w:ascii="Arial" w:hAnsi="Arial" w:cs="Arial"/>
          <w:color w:val="696969"/>
          <w:sz w:val="20"/>
          <w:szCs w:val="20"/>
          <w:lang w:val="en-AU"/>
        </w:rPr>
        <w:t>.</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The government has also determined that there needs to be greater compulsion for those it has designated as the disengaged; being those who place their superannuation into a default superannuation option.  The government has recognised that those in the default system tend to be disengaged from superannuation and often have little financial literacy.  These people would rather leave things to “the experts”.</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To further protect those who make no choice in superannuation and who find themselves in so called “default funds”, the government limited these default funds to those that </w:t>
      </w:r>
      <w:r>
        <w:rPr>
          <w:rFonts w:ascii="Arial" w:hAnsi="Arial" w:cs="Arial"/>
          <w:color w:val="696969"/>
          <w:sz w:val="20"/>
          <w:szCs w:val="20"/>
          <w:lang w:val="en-AU"/>
        </w:rPr>
        <w:t>have</w:t>
      </w:r>
      <w:r w:rsidRPr="0067475E">
        <w:rPr>
          <w:rFonts w:ascii="Arial" w:hAnsi="Arial" w:cs="Arial"/>
          <w:color w:val="696969"/>
          <w:sz w:val="20"/>
          <w:szCs w:val="20"/>
          <w:lang w:val="en-AU"/>
        </w:rPr>
        <w:t xml:space="preserve"> low fee</w:t>
      </w:r>
      <w:r>
        <w:rPr>
          <w:rFonts w:ascii="Arial" w:hAnsi="Arial" w:cs="Arial"/>
          <w:color w:val="696969"/>
          <w:sz w:val="20"/>
          <w:szCs w:val="20"/>
          <w:lang w:val="en-AU"/>
        </w:rPr>
        <w:t>s</w:t>
      </w:r>
      <w:r w:rsidRPr="0067475E">
        <w:rPr>
          <w:rFonts w:ascii="Arial" w:hAnsi="Arial" w:cs="Arial"/>
          <w:color w:val="696969"/>
          <w:sz w:val="20"/>
          <w:szCs w:val="20"/>
          <w:lang w:val="en-AU"/>
        </w:rPr>
        <w:t xml:space="preserve"> and without commission.  These are the </w:t>
      </w:r>
      <w:proofErr w:type="spellStart"/>
      <w:r w:rsidRPr="0067475E">
        <w:rPr>
          <w:rFonts w:ascii="Arial" w:hAnsi="Arial" w:cs="Arial"/>
          <w:color w:val="696969"/>
          <w:sz w:val="20"/>
          <w:szCs w:val="20"/>
          <w:lang w:val="en-AU"/>
        </w:rPr>
        <w:t>MySuper</w:t>
      </w:r>
      <w:proofErr w:type="spellEnd"/>
      <w:r w:rsidRPr="0067475E">
        <w:rPr>
          <w:rFonts w:ascii="Arial" w:hAnsi="Arial" w:cs="Arial"/>
          <w:color w:val="696969"/>
          <w:sz w:val="20"/>
          <w:szCs w:val="20"/>
          <w:lang w:val="en-AU"/>
        </w:rPr>
        <w:t xml:space="preserve"> funds.</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Many commentators have consistently questioned why compulsion is required in the accumulation phase but not in the more important retirement or benefit phase.  </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The arguments in favour of compulsion in the accumulation phase</w:t>
      </w:r>
      <w:r>
        <w:rPr>
          <w:rFonts w:ascii="Arial" w:hAnsi="Arial" w:cs="Arial"/>
          <w:color w:val="696969"/>
          <w:sz w:val="20"/>
          <w:szCs w:val="20"/>
          <w:lang w:val="en-AU"/>
        </w:rPr>
        <w:t>, are</w:t>
      </w:r>
      <w:r w:rsidRPr="0067475E">
        <w:rPr>
          <w:rFonts w:ascii="Arial" w:hAnsi="Arial" w:cs="Arial"/>
          <w:color w:val="696969"/>
          <w:sz w:val="20"/>
          <w:szCs w:val="20"/>
          <w:lang w:val="en-AU"/>
        </w:rPr>
        <w:t xml:space="preserve"> principally that the majority of people are not sufficiently financially literate to make informed choices and that compulsion protects their interests; apply equally in the retirement or benefits phase</w:t>
      </w:r>
      <w:r>
        <w:rPr>
          <w:rFonts w:ascii="Arial" w:hAnsi="Arial" w:cs="Arial"/>
          <w:color w:val="696969"/>
          <w:sz w:val="20"/>
          <w:szCs w:val="20"/>
          <w:lang w:val="en-AU"/>
        </w:rPr>
        <w:t>s</w:t>
      </w:r>
      <w:r w:rsidRPr="0067475E">
        <w:rPr>
          <w:rFonts w:ascii="Arial" w:hAnsi="Arial" w:cs="Arial"/>
          <w:color w:val="696969"/>
          <w:sz w:val="20"/>
          <w:szCs w:val="20"/>
          <w:lang w:val="en-AU"/>
        </w:rPr>
        <w:t>.</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The Institute though prefers adopting ‘soft compulsion’ over strict compulsion.  The reason for this is that while it encourages particular behaviour it allows for freedom of choice by those with the capacity to make their own decisions.</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By soft-compulsion in this context we are talking about adopting measures that promote particular behaviour and discourage other activities without being strictly compulsory.</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Soft-</w:t>
      </w:r>
      <w:r>
        <w:rPr>
          <w:rFonts w:ascii="Arial" w:hAnsi="Arial" w:cs="Arial"/>
          <w:color w:val="696969"/>
          <w:sz w:val="20"/>
          <w:szCs w:val="20"/>
          <w:lang w:val="en-AU"/>
        </w:rPr>
        <w:t>c</w:t>
      </w:r>
      <w:r w:rsidRPr="0067475E">
        <w:rPr>
          <w:rFonts w:ascii="Arial" w:hAnsi="Arial" w:cs="Arial"/>
          <w:color w:val="696969"/>
          <w:sz w:val="20"/>
          <w:szCs w:val="20"/>
          <w:lang w:val="en-AU"/>
        </w:rPr>
        <w:t xml:space="preserve">ompulsion will ensure that people make appropriate investment decisions.  The Institute strongly believes this is necessary in relation to retirement planning for </w:t>
      </w:r>
      <w:proofErr w:type="spellStart"/>
      <w:r w:rsidRPr="0067475E">
        <w:rPr>
          <w:rFonts w:ascii="Arial" w:hAnsi="Arial" w:cs="Arial"/>
          <w:color w:val="696969"/>
          <w:sz w:val="20"/>
          <w:szCs w:val="20"/>
          <w:lang w:val="en-AU"/>
        </w:rPr>
        <w:t>MySuper</w:t>
      </w:r>
      <w:proofErr w:type="spellEnd"/>
      <w:r w:rsidRPr="0067475E">
        <w:rPr>
          <w:rFonts w:ascii="Arial" w:hAnsi="Arial" w:cs="Arial"/>
          <w:color w:val="696969"/>
          <w:sz w:val="20"/>
          <w:szCs w:val="20"/>
          <w:lang w:val="en-AU"/>
        </w:rPr>
        <w:t xml:space="preserve"> account holders.  Their lower level of financial literacy and disengagement from superannuation (and investment generally) indicates they would benefit from limiting their choices when it comes to investing for their best retirement outcomes.  Accordingly, the Institute believes that </w:t>
      </w:r>
      <w:proofErr w:type="spellStart"/>
      <w:r w:rsidRPr="0067475E">
        <w:rPr>
          <w:rFonts w:ascii="Arial" w:hAnsi="Arial" w:cs="Arial"/>
          <w:color w:val="696969"/>
          <w:sz w:val="20"/>
          <w:szCs w:val="20"/>
          <w:lang w:val="en-AU"/>
        </w:rPr>
        <w:t>MySuper</w:t>
      </w:r>
      <w:proofErr w:type="spellEnd"/>
      <w:r w:rsidRPr="0067475E">
        <w:rPr>
          <w:rFonts w:ascii="Arial" w:hAnsi="Arial" w:cs="Arial"/>
          <w:color w:val="696969"/>
          <w:sz w:val="20"/>
          <w:szCs w:val="20"/>
          <w:lang w:val="en-AU"/>
        </w:rPr>
        <w:t xml:space="preserve"> account holders must be encouraged to put a majority of balances in retirement into an annuity or other pension product.</w:t>
      </w:r>
    </w:p>
    <w:p w:rsidR="00033996" w:rsidRPr="0067475E" w:rsidRDefault="00033996" w:rsidP="00E0370E">
      <w:pPr>
        <w:jc w:val="both"/>
        <w:rPr>
          <w:rFonts w:ascii="Arial" w:hAnsi="Arial" w:cs="Arial"/>
          <w:i/>
          <w:color w:val="696969"/>
          <w:sz w:val="20"/>
          <w:szCs w:val="20"/>
          <w:lang w:val="en-AU"/>
        </w:rPr>
      </w:pPr>
    </w:p>
    <w:p w:rsidR="00033996" w:rsidRPr="00E76C39" w:rsidRDefault="00033996" w:rsidP="00E76C39">
      <w:pPr>
        <w:rPr>
          <w:rFonts w:ascii="Arial" w:hAnsi="Arial" w:cs="Arial"/>
          <w:b/>
          <w:i/>
          <w:color w:val="696969"/>
          <w:sz w:val="20"/>
          <w:szCs w:val="20"/>
          <w:lang w:val="en-AU"/>
        </w:rPr>
      </w:pPr>
      <w:bookmarkStart w:id="25" w:name="_Toc378769664"/>
      <w:r w:rsidRPr="00E76C39">
        <w:rPr>
          <w:rFonts w:ascii="Arial" w:hAnsi="Arial" w:cs="Arial"/>
          <w:b/>
          <w:i/>
          <w:color w:val="696969"/>
          <w:sz w:val="20"/>
          <w:szCs w:val="20"/>
          <w:lang w:val="en-AU"/>
        </w:rPr>
        <w:t>Best interests of account holders</w:t>
      </w:r>
      <w:bookmarkEnd w:id="25"/>
    </w:p>
    <w:p w:rsidR="00033996" w:rsidRPr="0067475E" w:rsidRDefault="00033996" w:rsidP="00E0370E">
      <w:pPr>
        <w:jc w:val="both"/>
        <w:rPr>
          <w:rFonts w:ascii="Arial" w:hAnsi="Arial" w:cs="Arial"/>
          <w:color w:val="696969"/>
          <w:sz w:val="20"/>
          <w:szCs w:val="20"/>
          <w:lang w:val="en-AU"/>
        </w:rPr>
      </w:pPr>
    </w:p>
    <w:p w:rsidR="00033996"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The Institute argues that the best interest for </w:t>
      </w:r>
      <w:proofErr w:type="spellStart"/>
      <w:r w:rsidRPr="0067475E">
        <w:rPr>
          <w:rFonts w:ascii="Arial" w:hAnsi="Arial" w:cs="Arial"/>
          <w:color w:val="696969"/>
          <w:sz w:val="20"/>
          <w:szCs w:val="20"/>
          <w:lang w:val="en-AU"/>
        </w:rPr>
        <w:t>MySuper</w:t>
      </w:r>
      <w:proofErr w:type="spellEnd"/>
      <w:r w:rsidRPr="0067475E">
        <w:rPr>
          <w:rFonts w:ascii="Arial" w:hAnsi="Arial" w:cs="Arial"/>
          <w:color w:val="696969"/>
          <w:sz w:val="20"/>
          <w:szCs w:val="20"/>
          <w:lang w:val="en-AU"/>
        </w:rPr>
        <w:t xml:space="preserve"> account holders is for them to invest in annuity and pension products that will provide financial security in their retirement.</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While most economic theories contend that people act in their own best interest, this is often not the case.  The notion of best interest must also be considered in relation to time frames; meaning that whilst the immediate drawing of a lump sum may be in the short term best interest of a retiree (a holiday or home payments); in the medium to longer term this may not be the best outcome.  It is not </w:t>
      </w:r>
      <w:r w:rsidRPr="0067475E">
        <w:rPr>
          <w:rFonts w:ascii="Arial" w:hAnsi="Arial" w:cs="Arial"/>
          <w:color w:val="696969"/>
          <w:sz w:val="20"/>
          <w:szCs w:val="20"/>
          <w:lang w:val="en-AU"/>
        </w:rPr>
        <w:lastRenderedPageBreak/>
        <w:t xml:space="preserve">clear that the vast majority of </w:t>
      </w:r>
      <w:proofErr w:type="spellStart"/>
      <w:r w:rsidRPr="0067475E">
        <w:rPr>
          <w:rFonts w:ascii="Arial" w:hAnsi="Arial" w:cs="Arial"/>
          <w:color w:val="696969"/>
          <w:sz w:val="20"/>
          <w:szCs w:val="20"/>
          <w:lang w:val="en-AU"/>
        </w:rPr>
        <w:t>MySuper</w:t>
      </w:r>
      <w:proofErr w:type="spellEnd"/>
      <w:r w:rsidRPr="0067475E">
        <w:rPr>
          <w:rFonts w:ascii="Arial" w:hAnsi="Arial" w:cs="Arial"/>
          <w:color w:val="696969"/>
          <w:sz w:val="20"/>
          <w:szCs w:val="20"/>
          <w:lang w:val="en-AU"/>
        </w:rPr>
        <w:t xml:space="preserve"> account holder retirees will make decisions which are cognizant of these longer term issues.</w:t>
      </w:r>
    </w:p>
    <w:p w:rsidR="00033996" w:rsidRPr="0067475E" w:rsidRDefault="00033996" w:rsidP="00E0370E">
      <w:pPr>
        <w:jc w:val="both"/>
        <w:rPr>
          <w:rFonts w:ascii="Arial" w:hAnsi="Arial" w:cs="Arial"/>
          <w:color w:val="696969"/>
          <w:sz w:val="20"/>
          <w:szCs w:val="20"/>
          <w:lang w:val="en-AU"/>
        </w:rPr>
      </w:pPr>
    </w:p>
    <w:p w:rsidR="00033996"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The Australian Bureau of Statistics “</w:t>
      </w:r>
      <w:r w:rsidRPr="0067475E">
        <w:rPr>
          <w:rFonts w:ascii="Arial" w:hAnsi="Arial" w:cs="Arial"/>
          <w:i/>
          <w:color w:val="696969"/>
          <w:sz w:val="20"/>
          <w:szCs w:val="20"/>
          <w:lang w:val="en-AU"/>
        </w:rPr>
        <w:t>Survey of Employment Arrangements, Retirement and Superannuation</w:t>
      </w:r>
      <w:r w:rsidRPr="0067475E">
        <w:rPr>
          <w:rFonts w:ascii="Arial" w:hAnsi="Arial" w:cs="Arial"/>
          <w:color w:val="696969"/>
          <w:sz w:val="20"/>
          <w:szCs w:val="20"/>
          <w:lang w:val="en-AU"/>
        </w:rPr>
        <w:t>” indicate that many retirees are not putting their money to the best long term use.  Almost 60</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of those who had access to superannuation in retirement had taken either all or part of</w:t>
      </w:r>
      <w:r>
        <w:rPr>
          <w:rFonts w:ascii="Arial" w:hAnsi="Arial" w:cs="Arial"/>
          <w:sz w:val="20"/>
          <w:szCs w:val="20"/>
          <w:lang w:val="en-AU"/>
        </w:rPr>
        <w:t xml:space="preserve"> </w:t>
      </w:r>
      <w:r w:rsidRPr="0067475E">
        <w:rPr>
          <w:rFonts w:ascii="Arial" w:hAnsi="Arial" w:cs="Arial"/>
          <w:color w:val="696969"/>
          <w:sz w:val="20"/>
          <w:szCs w:val="20"/>
          <w:lang w:val="en-AU"/>
        </w:rPr>
        <w:t>their superannuation as a lump sum.  Of these, just over 20</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invested some or all of this lump sum into a bank account, personal savings or other investment, while just fewer than 20</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invested in an annuity, approved deposit scheme or</w:t>
      </w:r>
      <w:r>
        <w:rPr>
          <w:rFonts w:ascii="Arial" w:hAnsi="Arial" w:cs="Arial"/>
          <w:color w:val="696969"/>
          <w:sz w:val="20"/>
          <w:szCs w:val="20"/>
          <w:lang w:val="en-AU"/>
        </w:rPr>
        <w:t xml:space="preserve"> other superannuation product.</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Pr>
          <w:rFonts w:ascii="Arial" w:hAnsi="Arial" w:cs="Arial"/>
          <w:color w:val="696969"/>
          <w:sz w:val="20"/>
          <w:szCs w:val="20"/>
          <w:lang w:val="en-AU"/>
        </w:rPr>
        <w:t xml:space="preserve">Further, </w:t>
      </w:r>
      <w:r w:rsidRPr="0067475E">
        <w:rPr>
          <w:rFonts w:ascii="Arial" w:hAnsi="Arial" w:cs="Arial"/>
          <w:color w:val="696969"/>
          <w:sz w:val="20"/>
          <w:szCs w:val="20"/>
          <w:lang w:val="en-AU"/>
        </w:rPr>
        <w:t>34</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of men and 27</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of women u</w:t>
      </w:r>
      <w:r w:rsidR="00222905">
        <w:rPr>
          <w:rFonts w:ascii="Arial" w:hAnsi="Arial" w:cs="Arial"/>
          <w:color w:val="696969"/>
          <w:sz w:val="20"/>
          <w:szCs w:val="20"/>
          <w:lang w:val="en-AU"/>
        </w:rPr>
        <w:t>sed money from a lump sum</w:t>
      </w:r>
      <w:r w:rsidRPr="0067475E">
        <w:rPr>
          <w:rFonts w:ascii="Arial" w:hAnsi="Arial" w:cs="Arial"/>
          <w:color w:val="696969"/>
          <w:sz w:val="20"/>
          <w:szCs w:val="20"/>
          <w:lang w:val="en-AU"/>
        </w:rPr>
        <w:t xml:space="preserve"> payment to either pay off a mortgage or invest in a new home. </w:t>
      </w:r>
      <w:r>
        <w:rPr>
          <w:rFonts w:ascii="Arial" w:hAnsi="Arial" w:cs="Arial"/>
          <w:color w:val="696969"/>
          <w:sz w:val="20"/>
          <w:szCs w:val="20"/>
          <w:lang w:val="en-AU"/>
        </w:rPr>
        <w:t xml:space="preserve"> Sixteen per cent </w:t>
      </w:r>
      <w:r w:rsidRPr="0067475E">
        <w:rPr>
          <w:rFonts w:ascii="Arial" w:hAnsi="Arial" w:cs="Arial"/>
          <w:color w:val="696969"/>
          <w:sz w:val="20"/>
          <w:szCs w:val="20"/>
          <w:lang w:val="en-AU"/>
        </w:rPr>
        <w:t>of men used part or all of the lump sum to buy a new car and 13</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of both men and women used the lump sum to pay off debts (other than </w:t>
      </w:r>
      <w:r>
        <w:rPr>
          <w:rFonts w:ascii="Arial" w:hAnsi="Arial" w:cs="Arial"/>
          <w:color w:val="696969"/>
          <w:sz w:val="20"/>
          <w:szCs w:val="20"/>
          <w:lang w:val="en-AU"/>
        </w:rPr>
        <w:t xml:space="preserve">a </w:t>
      </w:r>
      <w:r w:rsidRPr="0067475E">
        <w:rPr>
          <w:rFonts w:ascii="Arial" w:hAnsi="Arial" w:cs="Arial"/>
          <w:color w:val="696969"/>
          <w:sz w:val="20"/>
          <w:szCs w:val="20"/>
          <w:lang w:val="en-AU"/>
        </w:rPr>
        <w:t>mortgage).</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Pr>
          <w:rFonts w:ascii="Arial" w:hAnsi="Arial" w:cs="Arial"/>
          <w:color w:val="696969"/>
          <w:sz w:val="20"/>
          <w:szCs w:val="20"/>
          <w:lang w:val="en-AU"/>
        </w:rPr>
        <w:t>A</w:t>
      </w:r>
      <w:r w:rsidRPr="0067475E">
        <w:rPr>
          <w:rFonts w:ascii="Arial" w:hAnsi="Arial" w:cs="Arial"/>
          <w:color w:val="696969"/>
          <w:sz w:val="20"/>
          <w:szCs w:val="20"/>
          <w:lang w:val="en-AU"/>
        </w:rPr>
        <w:t>round 40</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of those who took a lump sum re-invested part or all of that money.  More than 60</w:t>
      </w:r>
      <w:r>
        <w:rPr>
          <w:rFonts w:ascii="Arial" w:hAnsi="Arial" w:cs="Arial"/>
          <w:color w:val="696969"/>
          <w:sz w:val="20"/>
          <w:szCs w:val="20"/>
          <w:lang w:val="en-AU"/>
        </w:rPr>
        <w:t xml:space="preserve"> per cent</w:t>
      </w:r>
      <w:r w:rsidRPr="0067475E">
        <w:rPr>
          <w:rFonts w:ascii="Arial" w:hAnsi="Arial" w:cs="Arial"/>
          <w:color w:val="696969"/>
          <w:sz w:val="20"/>
          <w:szCs w:val="20"/>
          <w:lang w:val="en-AU"/>
        </w:rPr>
        <w:t xml:space="preserve"> had spent their lump sum on other than the intended purpose.</w:t>
      </w:r>
    </w:p>
    <w:p w:rsidR="00033996" w:rsidRPr="0067475E" w:rsidRDefault="00033996" w:rsidP="00E0370E">
      <w:pPr>
        <w:jc w:val="both"/>
        <w:rPr>
          <w:rFonts w:ascii="Arial" w:hAnsi="Arial" w:cs="Arial"/>
          <w:color w:val="696969"/>
          <w:sz w:val="20"/>
          <w:szCs w:val="20"/>
          <w:lang w:val="en-AU"/>
        </w:rPr>
      </w:pPr>
    </w:p>
    <w:p w:rsidR="00033996" w:rsidRPr="00E76C39" w:rsidRDefault="00033996" w:rsidP="00E76C39">
      <w:pPr>
        <w:rPr>
          <w:rFonts w:ascii="Arial" w:hAnsi="Arial" w:cs="Arial"/>
          <w:b/>
          <w:i/>
          <w:color w:val="696969"/>
          <w:sz w:val="20"/>
          <w:szCs w:val="20"/>
          <w:lang w:val="en-AU"/>
        </w:rPr>
      </w:pPr>
      <w:r w:rsidRPr="00E76C39">
        <w:rPr>
          <w:rFonts w:ascii="Arial" w:hAnsi="Arial" w:cs="Arial"/>
          <w:b/>
          <w:i/>
          <w:color w:val="696969"/>
          <w:sz w:val="20"/>
          <w:szCs w:val="20"/>
          <w:lang w:val="en-AU"/>
        </w:rPr>
        <w:t>Conclusion</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The superannuation system was designed to reduce reliance on government pensions and to encourage self-sufficiency in retirement.  While compulsory contributions have increased the funds people have on retirement, the absence of compulsion in the retirement phase </w:t>
      </w:r>
      <w:r>
        <w:rPr>
          <w:rFonts w:ascii="Arial" w:hAnsi="Arial" w:cs="Arial"/>
          <w:color w:val="696969"/>
          <w:sz w:val="20"/>
          <w:szCs w:val="20"/>
          <w:lang w:val="en-AU"/>
        </w:rPr>
        <w:t xml:space="preserve">may result in sub-optimal </w:t>
      </w:r>
      <w:r w:rsidRPr="0067475E">
        <w:rPr>
          <w:rFonts w:ascii="Arial" w:hAnsi="Arial" w:cs="Arial"/>
          <w:color w:val="696969"/>
          <w:sz w:val="20"/>
          <w:szCs w:val="20"/>
          <w:lang w:val="en-AU"/>
        </w:rPr>
        <w:t>choices about how benefits should be used.</w:t>
      </w: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 </w:t>
      </w: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 xml:space="preserve">We </w:t>
      </w:r>
      <w:r>
        <w:rPr>
          <w:rFonts w:ascii="Arial" w:hAnsi="Arial" w:cs="Arial"/>
          <w:color w:val="696969"/>
          <w:sz w:val="20"/>
          <w:szCs w:val="20"/>
          <w:lang w:val="en-AU"/>
        </w:rPr>
        <w:t xml:space="preserve">suggest </w:t>
      </w:r>
      <w:r w:rsidRPr="0067475E">
        <w:rPr>
          <w:rFonts w:ascii="Arial" w:hAnsi="Arial" w:cs="Arial"/>
          <w:color w:val="696969"/>
          <w:sz w:val="20"/>
          <w:szCs w:val="20"/>
          <w:lang w:val="en-AU"/>
        </w:rPr>
        <w:t xml:space="preserve">that the disengaged contributor and those in </w:t>
      </w:r>
      <w:proofErr w:type="spellStart"/>
      <w:r w:rsidRPr="0067475E">
        <w:rPr>
          <w:rFonts w:ascii="Arial" w:hAnsi="Arial" w:cs="Arial"/>
          <w:color w:val="696969"/>
          <w:sz w:val="20"/>
          <w:szCs w:val="20"/>
          <w:lang w:val="en-AU"/>
        </w:rPr>
        <w:t>MySuper</w:t>
      </w:r>
      <w:proofErr w:type="spellEnd"/>
      <w:r w:rsidRPr="0067475E">
        <w:rPr>
          <w:rFonts w:ascii="Arial" w:hAnsi="Arial" w:cs="Arial"/>
          <w:color w:val="696969"/>
          <w:sz w:val="20"/>
          <w:szCs w:val="20"/>
          <w:lang w:val="en-AU"/>
        </w:rPr>
        <w:t xml:space="preserve"> product</w:t>
      </w:r>
      <w:r>
        <w:rPr>
          <w:rFonts w:ascii="Arial" w:hAnsi="Arial" w:cs="Arial"/>
          <w:color w:val="696969"/>
          <w:sz w:val="20"/>
          <w:szCs w:val="20"/>
          <w:lang w:val="en-AU"/>
        </w:rPr>
        <w:t>s should</w:t>
      </w:r>
      <w:r w:rsidRPr="0067475E">
        <w:rPr>
          <w:rFonts w:ascii="Arial" w:hAnsi="Arial" w:cs="Arial"/>
          <w:color w:val="696969"/>
          <w:sz w:val="20"/>
          <w:szCs w:val="20"/>
          <w:lang w:val="en-AU"/>
        </w:rPr>
        <w:t xml:space="preserve"> be encouraged through soft-compulsion to invest an appropriate minimum amount of their benefits into an annuity or other pension product.</w:t>
      </w:r>
    </w:p>
    <w:p w:rsidR="00033996" w:rsidRPr="0067475E" w:rsidRDefault="00033996" w:rsidP="00E0370E">
      <w:pPr>
        <w:jc w:val="both"/>
        <w:rPr>
          <w:rFonts w:ascii="Arial" w:hAnsi="Arial" w:cs="Arial"/>
          <w:color w:val="696969"/>
          <w:sz w:val="20"/>
          <w:szCs w:val="20"/>
          <w:lang w:val="en-AU"/>
        </w:rPr>
      </w:pPr>
    </w:p>
    <w:p w:rsidR="00033996" w:rsidRPr="0067475E" w:rsidRDefault="00033996" w:rsidP="00E0370E">
      <w:pPr>
        <w:jc w:val="both"/>
        <w:rPr>
          <w:rFonts w:ascii="Arial" w:hAnsi="Arial" w:cs="Arial"/>
          <w:color w:val="696969"/>
          <w:sz w:val="20"/>
          <w:szCs w:val="20"/>
          <w:lang w:val="en-AU"/>
        </w:rPr>
      </w:pPr>
      <w:r w:rsidRPr="0067475E">
        <w:rPr>
          <w:rFonts w:ascii="Arial" w:hAnsi="Arial" w:cs="Arial"/>
          <w:color w:val="696969"/>
          <w:sz w:val="20"/>
          <w:szCs w:val="20"/>
          <w:lang w:val="en-AU"/>
        </w:rPr>
        <w:t>This will result in better outcomes for those members and is in accor</w:t>
      </w:r>
      <w:r w:rsidR="00222905">
        <w:rPr>
          <w:rFonts w:ascii="Arial" w:hAnsi="Arial" w:cs="Arial"/>
          <w:color w:val="696969"/>
          <w:sz w:val="20"/>
          <w:szCs w:val="20"/>
          <w:lang w:val="en-AU"/>
        </w:rPr>
        <w:t>d with the underlying intent of</w:t>
      </w:r>
      <w:r w:rsidRPr="0067475E">
        <w:rPr>
          <w:rFonts w:ascii="Arial" w:hAnsi="Arial" w:cs="Arial"/>
          <w:color w:val="696969"/>
          <w:sz w:val="20"/>
          <w:szCs w:val="20"/>
          <w:lang w:val="en-AU"/>
        </w:rPr>
        <w:t xml:space="preserve"> superannuation policy.  </w:t>
      </w:r>
    </w:p>
    <w:p w:rsidR="00033996" w:rsidRPr="0072041C" w:rsidRDefault="00033996" w:rsidP="00E0370E">
      <w:pPr>
        <w:jc w:val="both"/>
        <w:rPr>
          <w:rFonts w:ascii="Arial" w:hAnsi="Arial" w:cs="Arial"/>
          <w:b/>
          <w:bCs/>
          <w:iCs/>
          <w:color w:val="484E41"/>
          <w:sz w:val="20"/>
          <w:szCs w:val="20"/>
        </w:rPr>
      </w:pPr>
      <w:r>
        <w:rPr>
          <w:rFonts w:ascii="Arial" w:hAnsi="Arial" w:cs="Arial"/>
          <w:b/>
          <w:bCs/>
          <w:i/>
          <w:iCs/>
          <w:color w:val="484E41"/>
          <w:sz w:val="20"/>
          <w:szCs w:val="20"/>
        </w:rPr>
        <w:br/>
      </w:r>
    </w:p>
    <w:p w:rsidR="00B255D5" w:rsidRDefault="00B255D5" w:rsidP="00017E1A">
      <w:pPr>
        <w:pStyle w:val="IPASubHeading"/>
      </w:pPr>
    </w:p>
    <w:p w:rsidR="00B255D5" w:rsidRDefault="00B255D5" w:rsidP="00017E1A">
      <w:pPr>
        <w:pStyle w:val="IPASubHeading"/>
      </w:pPr>
    </w:p>
    <w:bookmarkEnd w:id="20"/>
    <w:p w:rsidR="00335079" w:rsidRPr="0072041C" w:rsidRDefault="00B4372A" w:rsidP="002861E4">
      <w:pPr>
        <w:rPr>
          <w:rFonts w:ascii="Arial" w:hAnsi="Arial" w:cs="Arial"/>
          <w:b/>
          <w:bCs/>
          <w:iCs/>
          <w:color w:val="484E41"/>
          <w:sz w:val="20"/>
          <w:szCs w:val="20"/>
        </w:rPr>
      </w:pPr>
      <w:r>
        <w:rPr>
          <w:rFonts w:ascii="Arial" w:hAnsi="Arial" w:cs="Arial"/>
          <w:b/>
          <w:bCs/>
          <w:i/>
          <w:iCs/>
          <w:color w:val="484E41"/>
          <w:sz w:val="20"/>
          <w:szCs w:val="20"/>
        </w:rPr>
        <w:br/>
      </w:r>
    </w:p>
    <w:p w:rsidR="00D72BEA" w:rsidRDefault="00B872B8" w:rsidP="00FC29E7">
      <w:pPr>
        <w:pStyle w:val="IPAHeading"/>
      </w:pPr>
      <w:r>
        <w:br w:type="page"/>
      </w:r>
      <w:bookmarkStart w:id="26" w:name="_Toc314836519"/>
      <w:bookmarkStart w:id="27" w:name="_Toc314836699"/>
      <w:bookmarkStart w:id="28" w:name="_Toc397555055"/>
      <w:r w:rsidR="00D72BEA" w:rsidRPr="009A58E7">
        <w:lastRenderedPageBreak/>
        <w:t>Contact</w:t>
      </w:r>
      <w:bookmarkEnd w:id="26"/>
      <w:bookmarkEnd w:id="27"/>
      <w:bookmarkEnd w:id="28"/>
    </w:p>
    <w:p w:rsidR="00B4372A" w:rsidRDefault="00B4372A" w:rsidP="00FC29E7">
      <w:pPr>
        <w:pStyle w:val="IPAHeading"/>
      </w:pPr>
    </w:p>
    <w:p w:rsidR="00D72BEA" w:rsidRPr="00B4372A" w:rsidRDefault="00D72BEA" w:rsidP="002861E4">
      <w:pPr>
        <w:pStyle w:val="Subhead-Arial12ptbold"/>
        <w:rPr>
          <w:color w:val="E06C08"/>
        </w:rPr>
      </w:pPr>
      <w:r w:rsidRPr="00B4372A">
        <w:rPr>
          <w:color w:val="E06C08"/>
        </w:rPr>
        <w:t>IPA Head Office</w:t>
      </w:r>
    </w:p>
    <w:p w:rsidR="00D72BEA" w:rsidRPr="00D41FCD" w:rsidRDefault="00D72BEA" w:rsidP="002861E4">
      <w:pPr>
        <w:pStyle w:val="BodytextArial10pt"/>
        <w:rPr>
          <w:b/>
          <w:color w:val="696969"/>
        </w:rPr>
      </w:pPr>
      <w:r w:rsidRPr="00D41FCD">
        <w:rPr>
          <w:b/>
          <w:color w:val="696969"/>
        </w:rPr>
        <w:t>Level 6, 555 Lon</w:t>
      </w:r>
      <w:r w:rsidR="003D2447" w:rsidRPr="00D41FCD">
        <w:rPr>
          <w:b/>
          <w:color w:val="696969"/>
        </w:rPr>
        <w:t>sdale Street</w:t>
      </w:r>
      <w:r w:rsidR="003D2447" w:rsidRPr="00D41FCD">
        <w:rPr>
          <w:b/>
          <w:color w:val="696969"/>
        </w:rPr>
        <w:br/>
        <w:t>Melbourne Victoria</w:t>
      </w:r>
      <w:r w:rsidR="00104123" w:rsidRPr="00D41FCD">
        <w:rPr>
          <w:b/>
          <w:color w:val="696969"/>
        </w:rPr>
        <w:t xml:space="preserve"> </w:t>
      </w:r>
      <w:r w:rsidRPr="00D41FCD">
        <w:rPr>
          <w:b/>
          <w:color w:val="696969"/>
        </w:rPr>
        <w:t>3000</w:t>
      </w:r>
      <w:r w:rsidRPr="00D41FCD">
        <w:rPr>
          <w:b/>
          <w:color w:val="696969"/>
        </w:rPr>
        <w:br/>
        <w:t>Australia</w:t>
      </w:r>
    </w:p>
    <w:p w:rsidR="00D72BEA" w:rsidRPr="0067475E" w:rsidRDefault="00D72BEA" w:rsidP="002861E4">
      <w:pPr>
        <w:pStyle w:val="BodytextArial10pt"/>
        <w:rPr>
          <w:color w:val="696969"/>
        </w:rPr>
      </w:pPr>
      <w:r w:rsidRPr="00D41FCD">
        <w:rPr>
          <w:b/>
          <w:color w:val="696969"/>
        </w:rPr>
        <w:t>Tel:</w:t>
      </w:r>
      <w:r w:rsidRPr="0067475E">
        <w:rPr>
          <w:color w:val="696969"/>
        </w:rPr>
        <w:t xml:space="preserve"> 61 3 8665 3100</w:t>
      </w:r>
      <w:r w:rsidRPr="0067475E">
        <w:rPr>
          <w:color w:val="696969"/>
        </w:rPr>
        <w:br/>
      </w:r>
      <w:r w:rsidRPr="00D41FCD">
        <w:rPr>
          <w:b/>
          <w:color w:val="696969"/>
        </w:rPr>
        <w:t>Fax:</w:t>
      </w:r>
      <w:r w:rsidRPr="0067475E">
        <w:rPr>
          <w:color w:val="696969"/>
        </w:rPr>
        <w:t xml:space="preserve"> 61 3 8665 3130</w:t>
      </w:r>
      <w:r w:rsidRPr="0067475E">
        <w:rPr>
          <w:color w:val="696969"/>
        </w:rPr>
        <w:br/>
      </w:r>
      <w:r w:rsidR="00D80EE0" w:rsidRPr="00D41FCD">
        <w:rPr>
          <w:b/>
          <w:color w:val="696969"/>
        </w:rPr>
        <w:t>Email:</w:t>
      </w:r>
      <w:r w:rsidRPr="0067475E">
        <w:rPr>
          <w:color w:val="696969"/>
        </w:rPr>
        <w:t xml:space="preserve"> </w:t>
      </w:r>
      <w:hyperlink r:id="rId16" w:history="1">
        <w:r w:rsidR="003D2447" w:rsidRPr="0067475E">
          <w:rPr>
            <w:rStyle w:val="Hyperlink"/>
            <w:color w:val="696969"/>
          </w:rPr>
          <w:t>headoffice@publicaccountants.org.au</w:t>
        </w:r>
      </w:hyperlink>
      <w:r w:rsidRPr="0067475E">
        <w:rPr>
          <w:color w:val="696969"/>
        </w:rPr>
        <w:br/>
      </w:r>
      <w:r w:rsidRPr="00D41FCD">
        <w:rPr>
          <w:b/>
          <w:color w:val="696969"/>
        </w:rPr>
        <w:t xml:space="preserve">Website: </w:t>
      </w:r>
      <w:hyperlink r:id="rId17" w:history="1">
        <w:r w:rsidR="00E76C39" w:rsidRPr="00E76C39">
          <w:rPr>
            <w:rStyle w:val="Hyperlink"/>
            <w:color w:val="696969"/>
          </w:rPr>
          <w:t>www.publicaccountants.org.au</w:t>
        </w:r>
      </w:hyperlink>
      <w:r w:rsidR="00E76C39">
        <w:rPr>
          <w:color w:val="696969"/>
        </w:rPr>
        <w:t xml:space="preserve"> </w:t>
      </w:r>
    </w:p>
    <w:p w:rsidR="00D72BEA" w:rsidRPr="0067475E" w:rsidRDefault="00D72BEA" w:rsidP="002861E4">
      <w:pPr>
        <w:pStyle w:val="BodytextArial10pt"/>
        <w:rPr>
          <w:color w:val="696969"/>
        </w:rPr>
      </w:pPr>
    </w:p>
    <w:p w:rsidR="00D72BEA" w:rsidRPr="0067475E" w:rsidRDefault="00D72BEA" w:rsidP="002861E4">
      <w:pPr>
        <w:pStyle w:val="BodytextArial10pt"/>
        <w:rPr>
          <w:color w:val="696969"/>
        </w:rPr>
      </w:pPr>
      <w:r w:rsidRPr="0067475E">
        <w:rPr>
          <w:color w:val="696969"/>
        </w:rPr>
        <w:t>IPA Divisional Offices are located in the following cities:</w:t>
      </w:r>
    </w:p>
    <w:p w:rsidR="00D72BEA" w:rsidRPr="0067475E" w:rsidRDefault="00D72BEA" w:rsidP="002861E4">
      <w:pPr>
        <w:pStyle w:val="BodytextArial10pt"/>
        <w:rPr>
          <w:color w:val="696969"/>
        </w:rPr>
      </w:pPr>
      <w:r w:rsidRPr="0067475E">
        <w:rPr>
          <w:color w:val="696969"/>
        </w:rPr>
        <w:t>Melbourne</w:t>
      </w:r>
      <w:r w:rsidRPr="0067475E">
        <w:rPr>
          <w:color w:val="696969"/>
        </w:rPr>
        <w:br/>
        <w:t>Sydney</w:t>
      </w:r>
      <w:r w:rsidRPr="0067475E">
        <w:rPr>
          <w:color w:val="696969"/>
        </w:rPr>
        <w:br/>
        <w:t>Brisbane</w:t>
      </w:r>
      <w:r w:rsidRPr="0067475E">
        <w:rPr>
          <w:color w:val="696969"/>
        </w:rPr>
        <w:br/>
        <w:t>Adelaide</w:t>
      </w:r>
      <w:r w:rsidRPr="0067475E">
        <w:rPr>
          <w:color w:val="696969"/>
        </w:rPr>
        <w:br/>
        <w:t>Hobart</w:t>
      </w:r>
      <w:r w:rsidRPr="0067475E">
        <w:rPr>
          <w:color w:val="696969"/>
        </w:rPr>
        <w:br/>
        <w:t>Perth</w:t>
      </w:r>
      <w:r w:rsidRPr="0067475E">
        <w:rPr>
          <w:color w:val="696969"/>
        </w:rPr>
        <w:br/>
        <w:t>Canberra</w:t>
      </w:r>
    </w:p>
    <w:p w:rsidR="00D72BEA" w:rsidRPr="0067475E" w:rsidRDefault="00D72BEA" w:rsidP="002861E4">
      <w:pPr>
        <w:pStyle w:val="BodytextArial10pt"/>
        <w:rPr>
          <w:color w:val="696969"/>
        </w:rPr>
      </w:pPr>
      <w:r w:rsidRPr="0067475E">
        <w:rPr>
          <w:color w:val="696969"/>
        </w:rPr>
        <w:t>The IPA has secretariats in:</w:t>
      </w:r>
    </w:p>
    <w:p w:rsidR="00D72BEA" w:rsidRPr="0067475E" w:rsidRDefault="00D72BEA" w:rsidP="002861E4">
      <w:pPr>
        <w:pStyle w:val="BodytextArial10pt"/>
        <w:rPr>
          <w:color w:val="696969"/>
        </w:rPr>
      </w:pPr>
      <w:r w:rsidRPr="0067475E">
        <w:rPr>
          <w:color w:val="696969"/>
        </w:rPr>
        <w:t>Kuala Lumpur</w:t>
      </w:r>
      <w:r w:rsidRPr="0067475E">
        <w:rPr>
          <w:color w:val="696969"/>
        </w:rPr>
        <w:br/>
        <w:t>Beijing</w:t>
      </w:r>
    </w:p>
    <w:p w:rsidR="00D72BEA" w:rsidRPr="0067475E" w:rsidRDefault="00D72BEA" w:rsidP="002861E4">
      <w:pPr>
        <w:pStyle w:val="BodytextArial10pt"/>
        <w:rPr>
          <w:color w:val="696969"/>
        </w:rPr>
      </w:pPr>
      <w:r w:rsidRPr="0067475E">
        <w:rPr>
          <w:color w:val="696969"/>
        </w:rPr>
        <w:t xml:space="preserve">For enquiries within Australia call </w:t>
      </w:r>
      <w:r w:rsidRPr="00D41FCD">
        <w:rPr>
          <w:b/>
          <w:color w:val="696969"/>
        </w:rPr>
        <w:t xml:space="preserve">1800 625 </w:t>
      </w:r>
      <w:proofErr w:type="spellStart"/>
      <w:r w:rsidRPr="00D41FCD">
        <w:rPr>
          <w:b/>
          <w:color w:val="696969"/>
        </w:rPr>
        <w:t>625</w:t>
      </w:r>
      <w:proofErr w:type="spellEnd"/>
      <w:r w:rsidRPr="0067475E">
        <w:rPr>
          <w:color w:val="696969"/>
        </w:rPr>
        <w:t xml:space="preserve"> or your nearest Divisional Office</w:t>
      </w:r>
      <w:r w:rsidR="004E6B43" w:rsidRPr="0067475E">
        <w:rPr>
          <w:color w:val="696969"/>
        </w:rPr>
        <w:t>.</w:t>
      </w:r>
      <w:r w:rsidRPr="0067475E">
        <w:rPr>
          <w:color w:val="696969"/>
        </w:rPr>
        <w:t xml:space="preserve">  International enquiries can be directed in the first instance to IPA Head Office.</w:t>
      </w:r>
    </w:p>
    <w:p w:rsidR="00D72BEA" w:rsidRPr="009A58E7" w:rsidRDefault="00D72BEA" w:rsidP="002861E4">
      <w:pPr>
        <w:rPr>
          <w:rFonts w:ascii="Times New Roman" w:hAnsi="Times New Roman" w:cs="Times New Roman"/>
          <w:color w:val="484E41"/>
          <w:sz w:val="20"/>
          <w:szCs w:val="20"/>
          <w:lang w:val="en-AU" w:bidi="ar-SA"/>
        </w:rPr>
      </w:pPr>
    </w:p>
    <w:sectPr w:rsidR="00D72BEA" w:rsidRPr="009A58E7" w:rsidSect="00F6169D">
      <w:headerReference w:type="even" r:id="rId18"/>
      <w:headerReference w:type="default" r:id="rId19"/>
      <w:footerReference w:type="even" r:id="rId20"/>
      <w:footerReference w:type="default" r:id="rId21"/>
      <w:headerReference w:type="first" r:id="rId22"/>
      <w:footerReference w:type="first" r:id="rId23"/>
      <w:type w:val="continuous"/>
      <w:pgSz w:w="11899" w:h="16838"/>
      <w:pgMar w:top="1418" w:right="1134" w:bottom="1701" w:left="1701"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9E7" w:rsidRDefault="00FC29E7">
      <w:r>
        <w:separator/>
      </w:r>
    </w:p>
  </w:endnote>
  <w:endnote w:type="continuationSeparator" w:id="0">
    <w:p w:rsidR="00FC29E7" w:rsidRDefault="00FC29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9E7" w:rsidRDefault="00FC29E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page" w:horzAnchor="page" w:tblpX="821" w:tblpY="15761"/>
      <w:tblW w:w="7858" w:type="dxa"/>
      <w:tblLayout w:type="fixed"/>
      <w:tblCellMar>
        <w:left w:w="0" w:type="dxa"/>
        <w:right w:w="0" w:type="dxa"/>
      </w:tblCellMar>
      <w:tblLook w:val="0000"/>
    </w:tblPr>
    <w:tblGrid>
      <w:gridCol w:w="904"/>
      <w:gridCol w:w="6954"/>
    </w:tblGrid>
    <w:tr w:rsidR="00FC29E7" w:rsidTr="000169BE">
      <w:trPr>
        <w:trHeight w:val="165"/>
      </w:trPr>
      <w:tc>
        <w:tcPr>
          <w:tcW w:w="904" w:type="dxa"/>
        </w:tcPr>
        <w:p w:rsidR="00FC29E7" w:rsidRPr="005327DB" w:rsidRDefault="00863955" w:rsidP="00D72BEA">
          <w:pPr>
            <w:rPr>
              <w:color w:val="BFBFBF"/>
            </w:rPr>
          </w:pPr>
          <w:r w:rsidRPr="005327DB">
            <w:rPr>
              <w:rFonts w:ascii="Arial Bold" w:hAnsi="Arial Bold"/>
              <w:noProof/>
              <w:color w:val="BFBFBF"/>
            </w:rPr>
            <w:fldChar w:fldCharType="begin"/>
          </w:r>
          <w:r w:rsidR="00FC29E7" w:rsidRPr="005327DB">
            <w:rPr>
              <w:rFonts w:ascii="Arial Bold" w:hAnsi="Arial Bold"/>
              <w:noProof/>
              <w:color w:val="BFBFBF"/>
            </w:rPr>
            <w:instrText xml:space="preserve"> PAGE </w:instrText>
          </w:r>
          <w:r w:rsidRPr="005327DB">
            <w:rPr>
              <w:rFonts w:ascii="Arial Bold" w:hAnsi="Arial Bold"/>
              <w:noProof/>
              <w:color w:val="BFBFBF"/>
            </w:rPr>
            <w:fldChar w:fldCharType="separate"/>
          </w:r>
          <w:r w:rsidR="00A81F64">
            <w:rPr>
              <w:rFonts w:ascii="Arial Bold" w:hAnsi="Arial Bold"/>
              <w:noProof/>
              <w:color w:val="BFBFBF"/>
            </w:rPr>
            <w:t>13</w:t>
          </w:r>
          <w:r w:rsidRPr="005327DB">
            <w:rPr>
              <w:rFonts w:ascii="Arial Bold" w:hAnsi="Arial Bold"/>
              <w:noProof/>
              <w:color w:val="BFBFBF"/>
            </w:rPr>
            <w:fldChar w:fldCharType="end"/>
          </w:r>
        </w:p>
      </w:tc>
      <w:tc>
        <w:tcPr>
          <w:tcW w:w="6954" w:type="dxa"/>
        </w:tcPr>
        <w:p w:rsidR="00FC29E7" w:rsidRPr="005327DB" w:rsidRDefault="00FC29E7" w:rsidP="000169BE">
          <w:pPr>
            <w:rPr>
              <w:rFonts w:ascii="Arial Bold" w:hAnsi="Arial Bold"/>
              <w:color w:val="BFBFBF"/>
              <w:sz w:val="22"/>
            </w:rPr>
          </w:pPr>
          <w:r>
            <w:rPr>
              <w:rFonts w:ascii="Arial Bold" w:hAnsi="Arial Bold"/>
              <w:color w:val="BFBFBF"/>
              <w:sz w:val="22"/>
            </w:rPr>
            <w:t xml:space="preserve">Review of retirement income stream regulation </w:t>
          </w:r>
          <w:r w:rsidR="000169BE">
            <w:rPr>
              <w:rFonts w:ascii="Arial Bold" w:hAnsi="Arial Bold"/>
              <w:color w:val="BFBFBF"/>
              <w:sz w:val="22"/>
            </w:rPr>
            <w:t>September</w:t>
          </w:r>
          <w:r>
            <w:rPr>
              <w:rFonts w:ascii="Arial Bold" w:hAnsi="Arial Bold"/>
              <w:color w:val="BFBFBF"/>
              <w:sz w:val="22"/>
            </w:rPr>
            <w:t xml:space="preserve"> 2014</w:t>
          </w:r>
        </w:p>
      </w:tc>
    </w:tr>
  </w:tbl>
  <w:p w:rsidR="00FC29E7" w:rsidRDefault="00FC29E7" w:rsidP="00D72BEA">
    <w:r>
      <w:rPr>
        <w:noProof/>
        <w:lang w:val="en-AU" w:eastAsia="en-AU" w:bidi="ar-SA"/>
      </w:rPr>
      <w:drawing>
        <wp:anchor distT="0" distB="0" distL="114300" distR="114300" simplePos="0" relativeHeight="251657728" behindDoc="0" locked="0" layoutInCell="1" allowOverlap="1">
          <wp:simplePos x="0" y="0"/>
          <wp:positionH relativeFrom="column">
            <wp:posOffset>4267200</wp:posOffset>
          </wp:positionH>
          <wp:positionV relativeFrom="paragraph">
            <wp:posOffset>-473710</wp:posOffset>
          </wp:positionV>
          <wp:extent cx="1930400" cy="469900"/>
          <wp:effectExtent l="19050" t="0" r="0" b="0"/>
          <wp:wrapNone/>
          <wp:docPr id="1" name="Picture 8" descr="NO023_IPACrestfull_2011-Fe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023_IPACrestfull_2011-Feb_300dpi"/>
                  <pic:cNvPicPr>
                    <a:picLocks noChangeAspect="1" noChangeArrowheads="1"/>
                  </pic:cNvPicPr>
                </pic:nvPicPr>
                <pic:blipFill>
                  <a:blip r:embed="rId1"/>
                  <a:srcRect/>
                  <a:stretch>
                    <a:fillRect/>
                  </a:stretch>
                </pic:blipFill>
                <pic:spPr bwMode="auto">
                  <a:xfrm rot="10800000" flipH="1" flipV="1">
                    <a:off x="0" y="0"/>
                    <a:ext cx="1930400" cy="469900"/>
                  </a:xfrm>
                  <a:prstGeom prst="rect">
                    <a:avLst/>
                  </a:prstGeom>
                  <a:noFill/>
                  <a:ln w="9525">
                    <a:noFill/>
                    <a:miter lim="800000"/>
                    <a:headEnd/>
                    <a:tailEnd/>
                  </a:ln>
                </pic:spPr>
              </pic:pic>
            </a:graphicData>
          </a:graphic>
        </wp:anchor>
      </w:drawing>
    </w:r>
  </w:p>
  <w:p w:rsidR="00FC29E7" w:rsidRDefault="00FC29E7" w:rsidP="00D72BE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9E7" w:rsidRDefault="00FC29E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9E7" w:rsidRDefault="00FC29E7">
      <w:r>
        <w:separator/>
      </w:r>
    </w:p>
  </w:footnote>
  <w:footnote w:type="continuationSeparator" w:id="0">
    <w:p w:rsidR="00FC29E7" w:rsidRDefault="00FC29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9E7" w:rsidRDefault="00FC29E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9E7" w:rsidRDefault="00FC29E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9E7" w:rsidRDefault="00FC29E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D264046"/>
    <w:lvl w:ilvl="0">
      <w:start w:val="1"/>
      <w:numFmt w:val="decimal"/>
      <w:lvlText w:val="%1."/>
      <w:lvlJc w:val="left"/>
      <w:pPr>
        <w:tabs>
          <w:tab w:val="num" w:pos="1492"/>
        </w:tabs>
        <w:ind w:left="1492" w:hanging="360"/>
      </w:pPr>
    </w:lvl>
  </w:abstractNum>
  <w:abstractNum w:abstractNumId="1">
    <w:nsid w:val="FFFFFF7D"/>
    <w:multiLevelType w:val="singleLevel"/>
    <w:tmpl w:val="5B74C422"/>
    <w:lvl w:ilvl="0">
      <w:start w:val="1"/>
      <w:numFmt w:val="decimal"/>
      <w:lvlText w:val="%1."/>
      <w:lvlJc w:val="left"/>
      <w:pPr>
        <w:tabs>
          <w:tab w:val="num" w:pos="1209"/>
        </w:tabs>
        <w:ind w:left="1209" w:hanging="360"/>
      </w:pPr>
    </w:lvl>
  </w:abstractNum>
  <w:abstractNum w:abstractNumId="2">
    <w:nsid w:val="FFFFFF7E"/>
    <w:multiLevelType w:val="singleLevel"/>
    <w:tmpl w:val="40929D5A"/>
    <w:lvl w:ilvl="0">
      <w:start w:val="1"/>
      <w:numFmt w:val="decimal"/>
      <w:lvlText w:val="%1."/>
      <w:lvlJc w:val="left"/>
      <w:pPr>
        <w:tabs>
          <w:tab w:val="num" w:pos="926"/>
        </w:tabs>
        <w:ind w:left="926" w:hanging="360"/>
      </w:pPr>
    </w:lvl>
  </w:abstractNum>
  <w:abstractNum w:abstractNumId="3">
    <w:nsid w:val="FFFFFF7F"/>
    <w:multiLevelType w:val="singleLevel"/>
    <w:tmpl w:val="BE72B1E4"/>
    <w:lvl w:ilvl="0">
      <w:start w:val="1"/>
      <w:numFmt w:val="decimal"/>
      <w:lvlText w:val="%1."/>
      <w:lvlJc w:val="left"/>
      <w:pPr>
        <w:tabs>
          <w:tab w:val="num" w:pos="643"/>
        </w:tabs>
        <w:ind w:left="643" w:hanging="360"/>
      </w:pPr>
    </w:lvl>
  </w:abstractNum>
  <w:abstractNum w:abstractNumId="4">
    <w:nsid w:val="FFFFFF80"/>
    <w:multiLevelType w:val="singleLevel"/>
    <w:tmpl w:val="E8D010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C23C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D782C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8C08E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82CAB36"/>
    <w:lvl w:ilvl="0">
      <w:start w:val="1"/>
      <w:numFmt w:val="decimal"/>
      <w:lvlText w:val="%1."/>
      <w:lvlJc w:val="left"/>
      <w:pPr>
        <w:tabs>
          <w:tab w:val="num" w:pos="360"/>
        </w:tabs>
        <w:ind w:left="360" w:hanging="360"/>
      </w:pPr>
    </w:lvl>
  </w:abstractNum>
  <w:abstractNum w:abstractNumId="9">
    <w:nsid w:val="FFFFFF89"/>
    <w:multiLevelType w:val="singleLevel"/>
    <w:tmpl w:val="76283CD6"/>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1"/>
    <w:lvl w:ilvl="0">
      <w:start w:val="1"/>
      <w:numFmt w:val="lowerLetter"/>
      <w:lvlText w:val="%1."/>
      <w:lvlJc w:val="left"/>
      <w:pPr>
        <w:tabs>
          <w:tab w:val="num" w:pos="0"/>
        </w:tabs>
        <w:ind w:left="1080" w:hanging="720"/>
      </w:pPr>
    </w:lvl>
  </w:abstractNum>
  <w:abstractNum w:abstractNumId="11">
    <w:nsid w:val="00000004"/>
    <w:multiLevelType w:val="singleLevel"/>
    <w:tmpl w:val="00000004"/>
    <w:name w:val="WW8Num3"/>
    <w:lvl w:ilvl="0">
      <w:start w:val="1"/>
      <w:numFmt w:val="bullet"/>
      <w:lvlText w:val=""/>
      <w:lvlJc w:val="left"/>
      <w:pPr>
        <w:tabs>
          <w:tab w:val="num" w:pos="1080"/>
        </w:tabs>
        <w:ind w:left="1080" w:hanging="360"/>
      </w:pPr>
      <w:rPr>
        <w:rFonts w:ascii="Symbol" w:hAnsi="Symbol"/>
      </w:rPr>
    </w:lvl>
  </w:abstractNum>
  <w:abstractNum w:abstractNumId="12">
    <w:nsid w:val="00000007"/>
    <w:multiLevelType w:val="singleLevel"/>
    <w:tmpl w:val="0C090001"/>
    <w:lvl w:ilvl="0">
      <w:start w:val="1"/>
      <w:numFmt w:val="bullet"/>
      <w:lvlText w:val=""/>
      <w:lvlJc w:val="left"/>
      <w:pPr>
        <w:ind w:left="720" w:hanging="360"/>
      </w:pPr>
      <w:rPr>
        <w:rFonts w:ascii="Symbol" w:hAnsi="Symbol" w:hint="default"/>
        <w:color w:val="auto"/>
      </w:rPr>
    </w:lvl>
  </w:abstractNum>
  <w:abstractNum w:abstractNumId="13">
    <w:nsid w:val="0000000C"/>
    <w:multiLevelType w:val="singleLevel"/>
    <w:tmpl w:val="0000000C"/>
    <w:name w:val="WW8Num13"/>
    <w:lvl w:ilvl="0">
      <w:start w:val="1"/>
      <w:numFmt w:val="lowerLetter"/>
      <w:lvlText w:val="%1."/>
      <w:lvlJc w:val="left"/>
      <w:pPr>
        <w:tabs>
          <w:tab w:val="num" w:pos="0"/>
        </w:tabs>
        <w:ind w:left="1080" w:hanging="720"/>
      </w:pPr>
    </w:lvl>
  </w:abstractNum>
  <w:abstractNum w:abstractNumId="14">
    <w:nsid w:val="0000000E"/>
    <w:multiLevelType w:val="singleLevel"/>
    <w:tmpl w:val="0C090001"/>
    <w:lvl w:ilvl="0">
      <w:start w:val="1"/>
      <w:numFmt w:val="bullet"/>
      <w:lvlText w:val=""/>
      <w:lvlJc w:val="left"/>
      <w:pPr>
        <w:ind w:left="720" w:hanging="360"/>
      </w:pPr>
      <w:rPr>
        <w:rFonts w:ascii="Symbol" w:hAnsi="Symbol" w:hint="default"/>
        <w:color w:val="auto"/>
      </w:rPr>
    </w:lvl>
  </w:abstractNum>
  <w:abstractNum w:abstractNumId="15">
    <w:nsid w:val="0000000F"/>
    <w:multiLevelType w:val="multilevel"/>
    <w:tmpl w:val="0000000F"/>
    <w:name w:val="WW8Num18"/>
    <w:lvl w:ilvl="0">
      <w:start w:val="1"/>
      <w:numFmt w:val="decimal"/>
      <w:suff w:val="nothing"/>
      <w:lvlText w:val="%1"/>
      <w:lvlJc w:val="left"/>
      <w:pPr>
        <w:tabs>
          <w:tab w:val="num" w:pos="0"/>
        </w:tabs>
        <w:ind w:left="0" w:firstLine="0"/>
      </w:pPr>
      <w:rPr>
        <w:rFonts w:cs="Times New Roman"/>
        <w:b w:val="0"/>
        <w:i w:val="0"/>
        <w:color w:val="000000"/>
      </w:rPr>
    </w:lvl>
    <w:lvl w:ilvl="1">
      <w:start w:val="1"/>
      <w:numFmt w:val="decimal"/>
      <w:lvlText w:val="%1.%2"/>
      <w:lvlJc w:val="left"/>
      <w:pPr>
        <w:tabs>
          <w:tab w:val="num" w:pos="1984"/>
        </w:tabs>
        <w:ind w:left="1134" w:firstLine="0"/>
      </w:pPr>
      <w:rPr>
        <w:rFonts w:cs="Times New Roman"/>
        <w:b w:val="0"/>
        <w:i w:val="0"/>
        <w:color w:val="000000"/>
      </w:rPr>
    </w:lvl>
    <w:lvl w:ilvl="2">
      <w:start w:val="1"/>
      <w:numFmt w:val="decimal"/>
      <w:suff w:val="nothing"/>
      <w:lvlText w:val="Example %2.%3"/>
      <w:lvlJc w:val="left"/>
      <w:pPr>
        <w:tabs>
          <w:tab w:val="num" w:pos="0"/>
        </w:tabs>
        <w:ind w:left="1440" w:firstLine="0"/>
      </w:pPr>
      <w:rPr>
        <w:rFonts w:ascii="Times New Roman" w:hAnsi="Times New Roman" w:cs="Times New Roman"/>
        <w:b/>
        <w:i w:val="0"/>
        <w:color w:val="000000"/>
        <w:sz w:val="22"/>
      </w:rPr>
    </w:lvl>
    <w:lvl w:ilvl="3">
      <w:start w:val="1"/>
      <w:numFmt w:val="decimal"/>
      <w:suff w:val="nothing"/>
      <w:lvlText w:val="Diagram %3.%4"/>
      <w:lvlJc w:val="left"/>
      <w:pPr>
        <w:tabs>
          <w:tab w:val="num" w:pos="0"/>
        </w:tabs>
        <w:ind w:left="1134" w:firstLine="0"/>
      </w:pPr>
      <w:rPr>
        <w:rFonts w:ascii="Times New Roman" w:hAnsi="Times New Roman" w:cs="Times New Roman"/>
        <w:b/>
        <w:i w:val="0"/>
        <w:color w:val="000000"/>
        <w:sz w:val="22"/>
      </w:rPr>
    </w:lvl>
    <w:lvl w:ilvl="4">
      <w:start w:val="1"/>
      <w:numFmt w:val="decimal"/>
      <w:suff w:val="nothing"/>
      <w:lvlText w:val="Table %4.%5"/>
      <w:lvlJc w:val="left"/>
      <w:pPr>
        <w:tabs>
          <w:tab w:val="num" w:pos="0"/>
        </w:tabs>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6">
    <w:nsid w:val="00000010"/>
    <w:multiLevelType w:val="singleLevel"/>
    <w:tmpl w:val="0C090001"/>
    <w:lvl w:ilvl="0">
      <w:start w:val="1"/>
      <w:numFmt w:val="bullet"/>
      <w:lvlText w:val=""/>
      <w:lvlJc w:val="left"/>
      <w:pPr>
        <w:ind w:left="720" w:hanging="360"/>
      </w:pPr>
      <w:rPr>
        <w:rFonts w:ascii="Symbol" w:hAnsi="Symbol" w:hint="default"/>
        <w:color w:val="auto"/>
      </w:rPr>
    </w:lvl>
  </w:abstractNum>
  <w:abstractNum w:abstractNumId="17">
    <w:nsid w:val="00000011"/>
    <w:multiLevelType w:val="singleLevel"/>
    <w:tmpl w:val="00000011"/>
    <w:name w:val="WW8Num20"/>
    <w:lvl w:ilvl="0">
      <w:start w:val="1"/>
      <w:numFmt w:val="bullet"/>
      <w:lvlText w:val=""/>
      <w:lvlJc w:val="left"/>
      <w:pPr>
        <w:tabs>
          <w:tab w:val="num" w:pos="720"/>
        </w:tabs>
        <w:ind w:left="720" w:hanging="360"/>
      </w:pPr>
      <w:rPr>
        <w:rFonts w:ascii="Symbol" w:hAnsi="Symbol"/>
      </w:rPr>
    </w:lvl>
  </w:abstractNum>
  <w:abstractNum w:abstractNumId="18">
    <w:nsid w:val="00000012"/>
    <w:multiLevelType w:val="singleLevel"/>
    <w:tmpl w:val="00000012"/>
    <w:name w:val="WW8Num21"/>
    <w:lvl w:ilvl="0">
      <w:start w:val="1"/>
      <w:numFmt w:val="bullet"/>
      <w:lvlText w:val=""/>
      <w:lvlJc w:val="left"/>
      <w:pPr>
        <w:tabs>
          <w:tab w:val="num" w:pos="0"/>
        </w:tabs>
        <w:ind w:left="720" w:hanging="360"/>
      </w:pPr>
      <w:rPr>
        <w:rFonts w:ascii="Symbol" w:hAnsi="Symbol"/>
      </w:rPr>
    </w:lvl>
  </w:abstractNum>
  <w:abstractNum w:abstractNumId="19">
    <w:nsid w:val="00000013"/>
    <w:multiLevelType w:val="singleLevel"/>
    <w:tmpl w:val="00000013"/>
    <w:name w:val="WW8Num23"/>
    <w:lvl w:ilvl="0">
      <w:start w:val="1"/>
      <w:numFmt w:val="bullet"/>
      <w:lvlText w:val=""/>
      <w:lvlJc w:val="left"/>
      <w:pPr>
        <w:tabs>
          <w:tab w:val="num" w:pos="0"/>
        </w:tabs>
        <w:ind w:left="720" w:hanging="360"/>
      </w:pPr>
      <w:rPr>
        <w:rFonts w:ascii="Symbol" w:hAnsi="Symbol"/>
      </w:rPr>
    </w:lvl>
  </w:abstractNum>
  <w:abstractNum w:abstractNumId="20">
    <w:nsid w:val="00000016"/>
    <w:multiLevelType w:val="singleLevel"/>
    <w:tmpl w:val="0C090001"/>
    <w:lvl w:ilvl="0">
      <w:start w:val="1"/>
      <w:numFmt w:val="bullet"/>
      <w:lvlText w:val=""/>
      <w:lvlJc w:val="left"/>
      <w:pPr>
        <w:ind w:left="720" w:hanging="360"/>
      </w:pPr>
      <w:rPr>
        <w:rFonts w:ascii="Symbol" w:hAnsi="Symbol" w:hint="default"/>
        <w:color w:val="auto"/>
      </w:rPr>
    </w:lvl>
  </w:abstractNum>
  <w:abstractNum w:abstractNumId="21">
    <w:nsid w:val="00000017"/>
    <w:multiLevelType w:val="singleLevel"/>
    <w:tmpl w:val="00000017"/>
    <w:name w:val="WW8Num29"/>
    <w:lvl w:ilvl="0">
      <w:start w:val="1"/>
      <w:numFmt w:val="bullet"/>
      <w:lvlText w:val=""/>
      <w:lvlJc w:val="left"/>
      <w:pPr>
        <w:tabs>
          <w:tab w:val="num" w:pos="1080"/>
        </w:tabs>
        <w:ind w:left="1080" w:hanging="360"/>
      </w:pPr>
      <w:rPr>
        <w:rFonts w:ascii="Symbol" w:hAnsi="Symbol"/>
      </w:rPr>
    </w:lvl>
  </w:abstractNum>
  <w:abstractNum w:abstractNumId="22">
    <w:nsid w:val="00000018"/>
    <w:multiLevelType w:val="singleLevel"/>
    <w:tmpl w:val="0C090001"/>
    <w:lvl w:ilvl="0">
      <w:start w:val="1"/>
      <w:numFmt w:val="bullet"/>
      <w:lvlText w:val=""/>
      <w:lvlJc w:val="left"/>
      <w:pPr>
        <w:ind w:left="720" w:hanging="360"/>
      </w:pPr>
      <w:rPr>
        <w:rFonts w:ascii="Symbol" w:hAnsi="Symbol" w:hint="default"/>
        <w:color w:val="auto"/>
      </w:rPr>
    </w:lvl>
  </w:abstractNum>
  <w:abstractNum w:abstractNumId="23">
    <w:nsid w:val="02425BA6"/>
    <w:multiLevelType w:val="hybridMultilevel"/>
    <w:tmpl w:val="63EE0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026D396F"/>
    <w:multiLevelType w:val="multilevel"/>
    <w:tmpl w:val="4768B31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059729F3"/>
    <w:multiLevelType w:val="hybridMultilevel"/>
    <w:tmpl w:val="05BEC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09EA117E"/>
    <w:multiLevelType w:val="hybridMultilevel"/>
    <w:tmpl w:val="7786EE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0F683AD8"/>
    <w:multiLevelType w:val="multilevel"/>
    <w:tmpl w:val="9CBC5476"/>
    <w:lvl w:ilvl="0">
      <w:start w:val="1"/>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0BB10BE"/>
    <w:multiLevelType w:val="multilevel"/>
    <w:tmpl w:val="E56AD87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30">
    <w:nsid w:val="280E6238"/>
    <w:multiLevelType w:val="multilevel"/>
    <w:tmpl w:val="0C4E474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8272B7C"/>
    <w:multiLevelType w:val="hybridMultilevel"/>
    <w:tmpl w:val="D048F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8C960F8"/>
    <w:multiLevelType w:val="multilevel"/>
    <w:tmpl w:val="B8A87ECC"/>
    <w:lvl w:ilvl="0">
      <w:start w:val="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28FD3B46"/>
    <w:multiLevelType w:val="multilevel"/>
    <w:tmpl w:val="54B401A0"/>
    <w:lvl w:ilvl="0">
      <w:start w:val="1"/>
      <w:numFmt w:val="decimal"/>
      <w:lvlText w:val="%1"/>
      <w:lvlJc w:val="left"/>
      <w:pPr>
        <w:ind w:left="435" w:hanging="435"/>
      </w:pPr>
      <w:rPr>
        <w:rFonts w:hint="default"/>
        <w:b/>
      </w:rPr>
    </w:lvl>
    <w:lvl w:ilvl="1">
      <w:start w:val="6"/>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nsid w:val="2F767A4D"/>
    <w:multiLevelType w:val="hybridMultilevel"/>
    <w:tmpl w:val="6E1C9B46"/>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5">
    <w:nsid w:val="36A34FC9"/>
    <w:multiLevelType w:val="hybridMultilevel"/>
    <w:tmpl w:val="B89CBD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0D72B00"/>
    <w:multiLevelType w:val="multilevel"/>
    <w:tmpl w:val="998E62D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2C65A12"/>
    <w:multiLevelType w:val="hybridMultilevel"/>
    <w:tmpl w:val="A2C60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42CE274B"/>
    <w:multiLevelType w:val="hybridMultilevel"/>
    <w:tmpl w:val="2D42CAE4"/>
    <w:lvl w:ilvl="0" w:tplc="C1F45C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43FD7C12"/>
    <w:multiLevelType w:val="hybridMultilevel"/>
    <w:tmpl w:val="1C3A2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4203E45"/>
    <w:multiLevelType w:val="multilevel"/>
    <w:tmpl w:val="18FE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51329FA"/>
    <w:multiLevelType w:val="hybridMultilevel"/>
    <w:tmpl w:val="3BA20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A3D3B8B"/>
    <w:multiLevelType w:val="hybridMultilevel"/>
    <w:tmpl w:val="FB9426D4"/>
    <w:lvl w:ilvl="0" w:tplc="99E2FEB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0807CF7"/>
    <w:multiLevelType w:val="hybridMultilevel"/>
    <w:tmpl w:val="D76CC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677605C"/>
    <w:multiLevelType w:val="multilevel"/>
    <w:tmpl w:val="EA2E763A"/>
    <w:lvl w:ilvl="0">
      <w:start w:val="1"/>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67C157E"/>
    <w:multiLevelType w:val="hybridMultilevel"/>
    <w:tmpl w:val="4A4A5E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6">
    <w:nsid w:val="57B3261C"/>
    <w:multiLevelType w:val="multilevel"/>
    <w:tmpl w:val="BA7A847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9002A94"/>
    <w:multiLevelType w:val="hybridMultilevel"/>
    <w:tmpl w:val="2EA863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6F464C0"/>
    <w:multiLevelType w:val="hybridMultilevel"/>
    <w:tmpl w:val="E9C02D86"/>
    <w:lvl w:ilvl="0" w:tplc="0C090019">
      <w:start w:val="1"/>
      <w:numFmt w:val="lowerLett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9">
    <w:nsid w:val="6AA34E40"/>
    <w:multiLevelType w:val="multilevel"/>
    <w:tmpl w:val="40C6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ECA07A9"/>
    <w:multiLevelType w:val="hybridMultilevel"/>
    <w:tmpl w:val="49CEE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0937B35"/>
    <w:multiLevelType w:val="multilevel"/>
    <w:tmpl w:val="9CBC5476"/>
    <w:lvl w:ilvl="0">
      <w:start w:val="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39E3E78"/>
    <w:multiLevelType w:val="hybridMultilevel"/>
    <w:tmpl w:val="8BA4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807798E"/>
    <w:multiLevelType w:val="multilevel"/>
    <w:tmpl w:val="02721C6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8CC09D1"/>
    <w:multiLevelType w:val="hybridMultilevel"/>
    <w:tmpl w:val="B5D2D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6"/>
  </w:num>
  <w:num w:numId="4">
    <w:abstractNumId w:val="20"/>
  </w:num>
  <w:num w:numId="5">
    <w:abstractNumId w:val="22"/>
  </w:num>
  <w:num w:numId="6">
    <w:abstractNumId w:val="40"/>
  </w:num>
  <w:num w:numId="7">
    <w:abstractNumId w:val="49"/>
  </w:num>
  <w:num w:numId="8">
    <w:abstractNumId w:val="54"/>
  </w:num>
  <w:num w:numId="9">
    <w:abstractNumId w:val="43"/>
  </w:num>
  <w:num w:numId="10">
    <w:abstractNumId w:val="24"/>
  </w:num>
  <w:num w:numId="11">
    <w:abstractNumId w:val="46"/>
  </w:num>
  <w:num w:numId="12">
    <w:abstractNumId w:val="30"/>
  </w:num>
  <w:num w:numId="13">
    <w:abstractNumId w:val="27"/>
  </w:num>
  <w:num w:numId="14">
    <w:abstractNumId w:val="45"/>
  </w:num>
  <w:num w:numId="15">
    <w:abstractNumId w:val="23"/>
  </w:num>
  <w:num w:numId="16">
    <w:abstractNumId w:val="41"/>
  </w:num>
  <w:num w:numId="17">
    <w:abstractNumId w:val="52"/>
  </w:num>
  <w:num w:numId="18">
    <w:abstractNumId w:val="33"/>
  </w:num>
  <w:num w:numId="19">
    <w:abstractNumId w:val="34"/>
  </w:num>
  <w:num w:numId="20">
    <w:abstractNumId w:val="44"/>
  </w:num>
  <w:num w:numId="21">
    <w:abstractNumId w:val="26"/>
  </w:num>
  <w:num w:numId="22">
    <w:abstractNumId w:val="51"/>
  </w:num>
  <w:num w:numId="23">
    <w:abstractNumId w:val="35"/>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53"/>
  </w:num>
  <w:num w:numId="35">
    <w:abstractNumId w:val="32"/>
  </w:num>
  <w:num w:numId="36">
    <w:abstractNumId w:val="37"/>
  </w:num>
  <w:num w:numId="37">
    <w:abstractNumId w:val="25"/>
  </w:num>
  <w:num w:numId="38">
    <w:abstractNumId w:val="29"/>
  </w:num>
  <w:num w:numId="39">
    <w:abstractNumId w:val="50"/>
  </w:num>
  <w:num w:numId="40">
    <w:abstractNumId w:val="39"/>
  </w:num>
  <w:num w:numId="41">
    <w:abstractNumId w:val="31"/>
  </w:num>
  <w:num w:numId="42">
    <w:abstractNumId w:val="42"/>
  </w:num>
  <w:num w:numId="43">
    <w:abstractNumId w:val="47"/>
  </w:num>
  <w:num w:numId="44">
    <w:abstractNumId w:val="24"/>
    <w:lvlOverride w:ilvl="0">
      <w:startOverride w:val="3"/>
    </w:lvlOverride>
    <w:lvlOverride w:ilvl="1">
      <w:startOverride w:val="4"/>
    </w:lvlOverride>
  </w:num>
  <w:num w:numId="45">
    <w:abstractNumId w:val="24"/>
    <w:lvlOverride w:ilvl="0">
      <w:startOverride w:val="3"/>
    </w:lvlOverride>
    <w:lvlOverride w:ilvl="1">
      <w:startOverride w:val="4"/>
    </w:lvlOverride>
  </w:num>
  <w:num w:numId="46">
    <w:abstractNumId w:val="24"/>
    <w:lvlOverride w:ilvl="0">
      <w:startOverride w:val="3"/>
    </w:lvlOverride>
    <w:lvlOverride w:ilvl="1">
      <w:startOverride w:val="4"/>
    </w:lvlOverride>
  </w:num>
  <w:num w:numId="47">
    <w:abstractNumId w:val="48"/>
  </w:num>
  <w:num w:numId="48">
    <w:abstractNumId w:val="38"/>
  </w:num>
  <w:num w:numId="49">
    <w:abstractNumId w:val="28"/>
  </w:num>
  <w:num w:numId="50">
    <w:abstractNumId w:val="3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drawingGridHorizontalSpacing w:val="120"/>
  <w:drawingGridVerticalSpacing w:val="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rsids>
    <w:rsidRoot w:val="00BF702E"/>
    <w:rsid w:val="000001A8"/>
    <w:rsid w:val="00001ECA"/>
    <w:rsid w:val="00003A91"/>
    <w:rsid w:val="000064FF"/>
    <w:rsid w:val="00010F95"/>
    <w:rsid w:val="00013D7A"/>
    <w:rsid w:val="00013E10"/>
    <w:rsid w:val="0001439B"/>
    <w:rsid w:val="00015BE0"/>
    <w:rsid w:val="0001623D"/>
    <w:rsid w:val="000169BE"/>
    <w:rsid w:val="00017E1A"/>
    <w:rsid w:val="000212F4"/>
    <w:rsid w:val="00021B4E"/>
    <w:rsid w:val="00033996"/>
    <w:rsid w:val="00034762"/>
    <w:rsid w:val="00034A7E"/>
    <w:rsid w:val="00042164"/>
    <w:rsid w:val="00046F48"/>
    <w:rsid w:val="000472E5"/>
    <w:rsid w:val="00064398"/>
    <w:rsid w:val="00066658"/>
    <w:rsid w:val="00070EB2"/>
    <w:rsid w:val="000778CC"/>
    <w:rsid w:val="00090B6E"/>
    <w:rsid w:val="0009280F"/>
    <w:rsid w:val="00093FD7"/>
    <w:rsid w:val="000949C1"/>
    <w:rsid w:val="00094D64"/>
    <w:rsid w:val="00097914"/>
    <w:rsid w:val="000A20BB"/>
    <w:rsid w:val="000A2499"/>
    <w:rsid w:val="000C0118"/>
    <w:rsid w:val="000C0DCA"/>
    <w:rsid w:val="000C1B73"/>
    <w:rsid w:val="000C3451"/>
    <w:rsid w:val="000D0D8E"/>
    <w:rsid w:val="000D62BA"/>
    <w:rsid w:val="000E3188"/>
    <w:rsid w:val="000E4DF7"/>
    <w:rsid w:val="000E4E15"/>
    <w:rsid w:val="000E68FC"/>
    <w:rsid w:val="000F5511"/>
    <w:rsid w:val="000F6DDB"/>
    <w:rsid w:val="00100DD3"/>
    <w:rsid w:val="001015F7"/>
    <w:rsid w:val="00104123"/>
    <w:rsid w:val="001046D8"/>
    <w:rsid w:val="001100B0"/>
    <w:rsid w:val="001107C4"/>
    <w:rsid w:val="00112479"/>
    <w:rsid w:val="001179FE"/>
    <w:rsid w:val="0012519E"/>
    <w:rsid w:val="00127A19"/>
    <w:rsid w:val="001345DB"/>
    <w:rsid w:val="001427FB"/>
    <w:rsid w:val="00142F4D"/>
    <w:rsid w:val="00150820"/>
    <w:rsid w:val="00152F98"/>
    <w:rsid w:val="0015354C"/>
    <w:rsid w:val="001562E2"/>
    <w:rsid w:val="00164209"/>
    <w:rsid w:val="001673AD"/>
    <w:rsid w:val="00167B63"/>
    <w:rsid w:val="00177809"/>
    <w:rsid w:val="00181B39"/>
    <w:rsid w:val="001846CD"/>
    <w:rsid w:val="001867A4"/>
    <w:rsid w:val="001A07EB"/>
    <w:rsid w:val="001B3E31"/>
    <w:rsid w:val="001C45AD"/>
    <w:rsid w:val="001D06CF"/>
    <w:rsid w:val="001D14C5"/>
    <w:rsid w:val="001D3AB6"/>
    <w:rsid w:val="001D401C"/>
    <w:rsid w:val="001E1E85"/>
    <w:rsid w:val="001E3E5E"/>
    <w:rsid w:val="001F0DCA"/>
    <w:rsid w:val="001F2EF0"/>
    <w:rsid w:val="001F46E7"/>
    <w:rsid w:val="001F5623"/>
    <w:rsid w:val="001F7666"/>
    <w:rsid w:val="002023A7"/>
    <w:rsid w:val="00203B16"/>
    <w:rsid w:val="0021210D"/>
    <w:rsid w:val="00213A92"/>
    <w:rsid w:val="00216709"/>
    <w:rsid w:val="00222905"/>
    <w:rsid w:val="002239F5"/>
    <w:rsid w:val="0022442F"/>
    <w:rsid w:val="00226E82"/>
    <w:rsid w:val="0022710F"/>
    <w:rsid w:val="002274C8"/>
    <w:rsid w:val="002352B4"/>
    <w:rsid w:val="00237670"/>
    <w:rsid w:val="00242C6C"/>
    <w:rsid w:val="00246E15"/>
    <w:rsid w:val="00251D57"/>
    <w:rsid w:val="0026316C"/>
    <w:rsid w:val="002767F5"/>
    <w:rsid w:val="002808BE"/>
    <w:rsid w:val="00283808"/>
    <w:rsid w:val="002851D1"/>
    <w:rsid w:val="002861E4"/>
    <w:rsid w:val="00293317"/>
    <w:rsid w:val="00293CF3"/>
    <w:rsid w:val="00295F92"/>
    <w:rsid w:val="002A42BF"/>
    <w:rsid w:val="002A674C"/>
    <w:rsid w:val="002A70EF"/>
    <w:rsid w:val="002A7DE6"/>
    <w:rsid w:val="002B0A36"/>
    <w:rsid w:val="002B26A3"/>
    <w:rsid w:val="002B376E"/>
    <w:rsid w:val="002C0BB0"/>
    <w:rsid w:val="002C612E"/>
    <w:rsid w:val="002D1486"/>
    <w:rsid w:val="002D4531"/>
    <w:rsid w:val="002D4D67"/>
    <w:rsid w:val="002E035E"/>
    <w:rsid w:val="002E25EC"/>
    <w:rsid w:val="002E369A"/>
    <w:rsid w:val="002E3E5E"/>
    <w:rsid w:val="00300BA3"/>
    <w:rsid w:val="00303E31"/>
    <w:rsid w:val="0030738C"/>
    <w:rsid w:val="00310332"/>
    <w:rsid w:val="003134BB"/>
    <w:rsid w:val="0031393A"/>
    <w:rsid w:val="0031523D"/>
    <w:rsid w:val="00321A39"/>
    <w:rsid w:val="00321C4D"/>
    <w:rsid w:val="0032343F"/>
    <w:rsid w:val="00323F93"/>
    <w:rsid w:val="003321D0"/>
    <w:rsid w:val="00332379"/>
    <w:rsid w:val="00335079"/>
    <w:rsid w:val="003363A4"/>
    <w:rsid w:val="00337A75"/>
    <w:rsid w:val="00343036"/>
    <w:rsid w:val="0034565A"/>
    <w:rsid w:val="00354816"/>
    <w:rsid w:val="00354D3D"/>
    <w:rsid w:val="00355F3E"/>
    <w:rsid w:val="00374526"/>
    <w:rsid w:val="003750CA"/>
    <w:rsid w:val="00375B11"/>
    <w:rsid w:val="00375BBE"/>
    <w:rsid w:val="00375CB4"/>
    <w:rsid w:val="00376ACD"/>
    <w:rsid w:val="003A4346"/>
    <w:rsid w:val="003A6123"/>
    <w:rsid w:val="003A6624"/>
    <w:rsid w:val="003B20FD"/>
    <w:rsid w:val="003B70EE"/>
    <w:rsid w:val="003C33D6"/>
    <w:rsid w:val="003C6BFA"/>
    <w:rsid w:val="003D1DC8"/>
    <w:rsid w:val="003D2447"/>
    <w:rsid w:val="003D2D0A"/>
    <w:rsid w:val="003D2E97"/>
    <w:rsid w:val="003D799E"/>
    <w:rsid w:val="003E061E"/>
    <w:rsid w:val="003E0E8E"/>
    <w:rsid w:val="003E4290"/>
    <w:rsid w:val="003E7D41"/>
    <w:rsid w:val="003F3D65"/>
    <w:rsid w:val="003F518F"/>
    <w:rsid w:val="00402445"/>
    <w:rsid w:val="004030D4"/>
    <w:rsid w:val="00410D43"/>
    <w:rsid w:val="00411FDC"/>
    <w:rsid w:val="0042258E"/>
    <w:rsid w:val="00423EF0"/>
    <w:rsid w:val="004314B3"/>
    <w:rsid w:val="00436968"/>
    <w:rsid w:val="00440859"/>
    <w:rsid w:val="00443531"/>
    <w:rsid w:val="0045128C"/>
    <w:rsid w:val="00457F83"/>
    <w:rsid w:val="00471E01"/>
    <w:rsid w:val="004A2E29"/>
    <w:rsid w:val="004A7558"/>
    <w:rsid w:val="004B115B"/>
    <w:rsid w:val="004B3BF9"/>
    <w:rsid w:val="004B51CF"/>
    <w:rsid w:val="004B6A5F"/>
    <w:rsid w:val="004B7BF6"/>
    <w:rsid w:val="004C20D8"/>
    <w:rsid w:val="004C28D2"/>
    <w:rsid w:val="004C66C0"/>
    <w:rsid w:val="004C7618"/>
    <w:rsid w:val="004C79AA"/>
    <w:rsid w:val="004D0304"/>
    <w:rsid w:val="004D26B5"/>
    <w:rsid w:val="004E1F78"/>
    <w:rsid w:val="004E64A1"/>
    <w:rsid w:val="004E6B43"/>
    <w:rsid w:val="004E7A6A"/>
    <w:rsid w:val="004F233D"/>
    <w:rsid w:val="004F23D5"/>
    <w:rsid w:val="005062DD"/>
    <w:rsid w:val="005133D5"/>
    <w:rsid w:val="005165A5"/>
    <w:rsid w:val="00516A30"/>
    <w:rsid w:val="0052016A"/>
    <w:rsid w:val="005224EE"/>
    <w:rsid w:val="00523169"/>
    <w:rsid w:val="005256C7"/>
    <w:rsid w:val="00527819"/>
    <w:rsid w:val="00530BCC"/>
    <w:rsid w:val="005326B9"/>
    <w:rsid w:val="00533506"/>
    <w:rsid w:val="00536117"/>
    <w:rsid w:val="00543AC7"/>
    <w:rsid w:val="00554A7E"/>
    <w:rsid w:val="005623A8"/>
    <w:rsid w:val="00564D14"/>
    <w:rsid w:val="00565B04"/>
    <w:rsid w:val="00570C19"/>
    <w:rsid w:val="0057236B"/>
    <w:rsid w:val="00572481"/>
    <w:rsid w:val="00572B9F"/>
    <w:rsid w:val="005738F3"/>
    <w:rsid w:val="0057597D"/>
    <w:rsid w:val="0057676A"/>
    <w:rsid w:val="0058213D"/>
    <w:rsid w:val="0058296A"/>
    <w:rsid w:val="00584B57"/>
    <w:rsid w:val="00586B57"/>
    <w:rsid w:val="005919E8"/>
    <w:rsid w:val="0059257A"/>
    <w:rsid w:val="00595D42"/>
    <w:rsid w:val="005A2C2B"/>
    <w:rsid w:val="005B60F8"/>
    <w:rsid w:val="005B6289"/>
    <w:rsid w:val="005C654F"/>
    <w:rsid w:val="005D2EE6"/>
    <w:rsid w:val="005E6259"/>
    <w:rsid w:val="005E74FE"/>
    <w:rsid w:val="005F15D5"/>
    <w:rsid w:val="005F2C95"/>
    <w:rsid w:val="005F3814"/>
    <w:rsid w:val="005F4579"/>
    <w:rsid w:val="005F4F5E"/>
    <w:rsid w:val="005F5CEF"/>
    <w:rsid w:val="005F6E37"/>
    <w:rsid w:val="005F7DD0"/>
    <w:rsid w:val="006016C6"/>
    <w:rsid w:val="0061466B"/>
    <w:rsid w:val="00614AEA"/>
    <w:rsid w:val="0061546F"/>
    <w:rsid w:val="0062413C"/>
    <w:rsid w:val="0062631D"/>
    <w:rsid w:val="006316CB"/>
    <w:rsid w:val="0064325F"/>
    <w:rsid w:val="00645004"/>
    <w:rsid w:val="00650FEF"/>
    <w:rsid w:val="00655FF9"/>
    <w:rsid w:val="00660FA5"/>
    <w:rsid w:val="00661149"/>
    <w:rsid w:val="00663B1C"/>
    <w:rsid w:val="00664EE9"/>
    <w:rsid w:val="00664FEB"/>
    <w:rsid w:val="00671DBB"/>
    <w:rsid w:val="00672C0F"/>
    <w:rsid w:val="0067475E"/>
    <w:rsid w:val="00677990"/>
    <w:rsid w:val="00684C02"/>
    <w:rsid w:val="006946EA"/>
    <w:rsid w:val="006B13D6"/>
    <w:rsid w:val="006B1EE4"/>
    <w:rsid w:val="006B2661"/>
    <w:rsid w:val="006C1AF9"/>
    <w:rsid w:val="006C2130"/>
    <w:rsid w:val="006C6814"/>
    <w:rsid w:val="006D01C0"/>
    <w:rsid w:val="006D06D1"/>
    <w:rsid w:val="006D608C"/>
    <w:rsid w:val="006D7311"/>
    <w:rsid w:val="006E2CC4"/>
    <w:rsid w:val="006F050C"/>
    <w:rsid w:val="006F227F"/>
    <w:rsid w:val="006F406A"/>
    <w:rsid w:val="00702AAE"/>
    <w:rsid w:val="00702FF4"/>
    <w:rsid w:val="00703028"/>
    <w:rsid w:val="00704262"/>
    <w:rsid w:val="00707062"/>
    <w:rsid w:val="0071683D"/>
    <w:rsid w:val="0072041C"/>
    <w:rsid w:val="00720524"/>
    <w:rsid w:val="007218DD"/>
    <w:rsid w:val="0072359E"/>
    <w:rsid w:val="007242B8"/>
    <w:rsid w:val="00724CB0"/>
    <w:rsid w:val="00726E51"/>
    <w:rsid w:val="00727635"/>
    <w:rsid w:val="00730C7E"/>
    <w:rsid w:val="007355A9"/>
    <w:rsid w:val="00735878"/>
    <w:rsid w:val="0075010D"/>
    <w:rsid w:val="00751B44"/>
    <w:rsid w:val="007529E7"/>
    <w:rsid w:val="007626B7"/>
    <w:rsid w:val="00763598"/>
    <w:rsid w:val="007639E1"/>
    <w:rsid w:val="007647F8"/>
    <w:rsid w:val="0076523F"/>
    <w:rsid w:val="00791E1F"/>
    <w:rsid w:val="00794ABB"/>
    <w:rsid w:val="007A5597"/>
    <w:rsid w:val="007A5DFD"/>
    <w:rsid w:val="007A7605"/>
    <w:rsid w:val="007B1B0E"/>
    <w:rsid w:val="007B4741"/>
    <w:rsid w:val="007B53B6"/>
    <w:rsid w:val="007B5F97"/>
    <w:rsid w:val="007B7509"/>
    <w:rsid w:val="007C28E4"/>
    <w:rsid w:val="007C2D00"/>
    <w:rsid w:val="007C72F7"/>
    <w:rsid w:val="007C79F0"/>
    <w:rsid w:val="007D2F3B"/>
    <w:rsid w:val="007F39B4"/>
    <w:rsid w:val="007F7CFD"/>
    <w:rsid w:val="00806F70"/>
    <w:rsid w:val="008143E2"/>
    <w:rsid w:val="008158F4"/>
    <w:rsid w:val="00820904"/>
    <w:rsid w:val="008235D6"/>
    <w:rsid w:val="00823D63"/>
    <w:rsid w:val="00823EF8"/>
    <w:rsid w:val="00824AEF"/>
    <w:rsid w:val="00824D52"/>
    <w:rsid w:val="00826279"/>
    <w:rsid w:val="00827DDB"/>
    <w:rsid w:val="00830236"/>
    <w:rsid w:val="008326E3"/>
    <w:rsid w:val="00841A34"/>
    <w:rsid w:val="00841C96"/>
    <w:rsid w:val="00851628"/>
    <w:rsid w:val="00851682"/>
    <w:rsid w:val="00854600"/>
    <w:rsid w:val="00856829"/>
    <w:rsid w:val="00857139"/>
    <w:rsid w:val="00857B5A"/>
    <w:rsid w:val="00863955"/>
    <w:rsid w:val="00864D87"/>
    <w:rsid w:val="00865D62"/>
    <w:rsid w:val="008704CB"/>
    <w:rsid w:val="00874914"/>
    <w:rsid w:val="00876743"/>
    <w:rsid w:val="0087678B"/>
    <w:rsid w:val="00877880"/>
    <w:rsid w:val="00877A71"/>
    <w:rsid w:val="0088301C"/>
    <w:rsid w:val="00886E72"/>
    <w:rsid w:val="0089784B"/>
    <w:rsid w:val="008B0358"/>
    <w:rsid w:val="008B0F7E"/>
    <w:rsid w:val="008B7A3F"/>
    <w:rsid w:val="008C6233"/>
    <w:rsid w:val="008C6A7D"/>
    <w:rsid w:val="008C6CB5"/>
    <w:rsid w:val="008C7947"/>
    <w:rsid w:val="008D43D5"/>
    <w:rsid w:val="008E2315"/>
    <w:rsid w:val="008E3E1B"/>
    <w:rsid w:val="008E4481"/>
    <w:rsid w:val="008F0D63"/>
    <w:rsid w:val="008F0DFB"/>
    <w:rsid w:val="008F2F8E"/>
    <w:rsid w:val="009021AD"/>
    <w:rsid w:val="00906CC5"/>
    <w:rsid w:val="00911383"/>
    <w:rsid w:val="00911F33"/>
    <w:rsid w:val="009123DC"/>
    <w:rsid w:val="009127B4"/>
    <w:rsid w:val="00921FE5"/>
    <w:rsid w:val="009275FF"/>
    <w:rsid w:val="00942113"/>
    <w:rsid w:val="0094658A"/>
    <w:rsid w:val="00952128"/>
    <w:rsid w:val="00953E1C"/>
    <w:rsid w:val="00957C52"/>
    <w:rsid w:val="009607B9"/>
    <w:rsid w:val="00960BFB"/>
    <w:rsid w:val="00961220"/>
    <w:rsid w:val="009638F1"/>
    <w:rsid w:val="00973114"/>
    <w:rsid w:val="00974988"/>
    <w:rsid w:val="0098051C"/>
    <w:rsid w:val="00986F20"/>
    <w:rsid w:val="009874FB"/>
    <w:rsid w:val="00993744"/>
    <w:rsid w:val="00994835"/>
    <w:rsid w:val="00997496"/>
    <w:rsid w:val="009A05BD"/>
    <w:rsid w:val="009A58E7"/>
    <w:rsid w:val="009B2435"/>
    <w:rsid w:val="009B3803"/>
    <w:rsid w:val="009B459C"/>
    <w:rsid w:val="009C3A2B"/>
    <w:rsid w:val="009C3FF8"/>
    <w:rsid w:val="009D6A09"/>
    <w:rsid w:val="009E4A62"/>
    <w:rsid w:val="009E62A9"/>
    <w:rsid w:val="009F23DB"/>
    <w:rsid w:val="009F3756"/>
    <w:rsid w:val="009F6925"/>
    <w:rsid w:val="009F6B27"/>
    <w:rsid w:val="009F6C5B"/>
    <w:rsid w:val="00A00F02"/>
    <w:rsid w:val="00A02908"/>
    <w:rsid w:val="00A05630"/>
    <w:rsid w:val="00A1473E"/>
    <w:rsid w:val="00A211D4"/>
    <w:rsid w:val="00A217CA"/>
    <w:rsid w:val="00A225C8"/>
    <w:rsid w:val="00A24240"/>
    <w:rsid w:val="00A25603"/>
    <w:rsid w:val="00A25CD1"/>
    <w:rsid w:val="00A27E48"/>
    <w:rsid w:val="00A31075"/>
    <w:rsid w:val="00A321F4"/>
    <w:rsid w:val="00A32698"/>
    <w:rsid w:val="00A33FF4"/>
    <w:rsid w:val="00A34047"/>
    <w:rsid w:val="00A34B53"/>
    <w:rsid w:val="00A459EB"/>
    <w:rsid w:val="00A52049"/>
    <w:rsid w:val="00A537C0"/>
    <w:rsid w:val="00A537E6"/>
    <w:rsid w:val="00A53B2F"/>
    <w:rsid w:val="00A55C2F"/>
    <w:rsid w:val="00A63B27"/>
    <w:rsid w:val="00A63D7C"/>
    <w:rsid w:val="00A6438C"/>
    <w:rsid w:val="00A654DF"/>
    <w:rsid w:val="00A766B9"/>
    <w:rsid w:val="00A81F64"/>
    <w:rsid w:val="00A861C1"/>
    <w:rsid w:val="00A93C49"/>
    <w:rsid w:val="00A9718B"/>
    <w:rsid w:val="00AA1FC1"/>
    <w:rsid w:val="00AA39D7"/>
    <w:rsid w:val="00AA497B"/>
    <w:rsid w:val="00AA7EDF"/>
    <w:rsid w:val="00AC0107"/>
    <w:rsid w:val="00AC11B9"/>
    <w:rsid w:val="00AC1F69"/>
    <w:rsid w:val="00AC5027"/>
    <w:rsid w:val="00AC5D3D"/>
    <w:rsid w:val="00AC6BC9"/>
    <w:rsid w:val="00AD42B7"/>
    <w:rsid w:val="00AD7F56"/>
    <w:rsid w:val="00AE2646"/>
    <w:rsid w:val="00AE730C"/>
    <w:rsid w:val="00AF2758"/>
    <w:rsid w:val="00AF3E51"/>
    <w:rsid w:val="00AF5CF0"/>
    <w:rsid w:val="00AF7A74"/>
    <w:rsid w:val="00B0471C"/>
    <w:rsid w:val="00B05DD6"/>
    <w:rsid w:val="00B12DEF"/>
    <w:rsid w:val="00B16774"/>
    <w:rsid w:val="00B20971"/>
    <w:rsid w:val="00B255D5"/>
    <w:rsid w:val="00B2644E"/>
    <w:rsid w:val="00B276E4"/>
    <w:rsid w:val="00B345CD"/>
    <w:rsid w:val="00B4164F"/>
    <w:rsid w:val="00B429E2"/>
    <w:rsid w:val="00B4372A"/>
    <w:rsid w:val="00B52328"/>
    <w:rsid w:val="00B53E83"/>
    <w:rsid w:val="00B5480F"/>
    <w:rsid w:val="00B54B39"/>
    <w:rsid w:val="00B562D5"/>
    <w:rsid w:val="00B6079B"/>
    <w:rsid w:val="00B70B3E"/>
    <w:rsid w:val="00B75563"/>
    <w:rsid w:val="00B76A0F"/>
    <w:rsid w:val="00B82387"/>
    <w:rsid w:val="00B8621E"/>
    <w:rsid w:val="00B872B8"/>
    <w:rsid w:val="00B87635"/>
    <w:rsid w:val="00B87F49"/>
    <w:rsid w:val="00B9022B"/>
    <w:rsid w:val="00B9042B"/>
    <w:rsid w:val="00B940B5"/>
    <w:rsid w:val="00B9676E"/>
    <w:rsid w:val="00BA41D4"/>
    <w:rsid w:val="00BA70EF"/>
    <w:rsid w:val="00BB2DCD"/>
    <w:rsid w:val="00BB7AF5"/>
    <w:rsid w:val="00BC010B"/>
    <w:rsid w:val="00BC470D"/>
    <w:rsid w:val="00BC7333"/>
    <w:rsid w:val="00BD4DCA"/>
    <w:rsid w:val="00BD5D12"/>
    <w:rsid w:val="00BD6610"/>
    <w:rsid w:val="00BE6A9E"/>
    <w:rsid w:val="00BF13BD"/>
    <w:rsid w:val="00BF1561"/>
    <w:rsid w:val="00BF702E"/>
    <w:rsid w:val="00C01014"/>
    <w:rsid w:val="00C02E54"/>
    <w:rsid w:val="00C03B18"/>
    <w:rsid w:val="00C11544"/>
    <w:rsid w:val="00C1489F"/>
    <w:rsid w:val="00C1514F"/>
    <w:rsid w:val="00C15616"/>
    <w:rsid w:val="00C165B3"/>
    <w:rsid w:val="00C17250"/>
    <w:rsid w:val="00C20921"/>
    <w:rsid w:val="00C215A3"/>
    <w:rsid w:val="00C26FE5"/>
    <w:rsid w:val="00C322F7"/>
    <w:rsid w:val="00C36273"/>
    <w:rsid w:val="00C40295"/>
    <w:rsid w:val="00C4091B"/>
    <w:rsid w:val="00C419A6"/>
    <w:rsid w:val="00C4294B"/>
    <w:rsid w:val="00C45672"/>
    <w:rsid w:val="00C475A0"/>
    <w:rsid w:val="00C5253D"/>
    <w:rsid w:val="00C52769"/>
    <w:rsid w:val="00C54069"/>
    <w:rsid w:val="00C551AD"/>
    <w:rsid w:val="00C5647F"/>
    <w:rsid w:val="00C579D4"/>
    <w:rsid w:val="00C615A4"/>
    <w:rsid w:val="00C6279D"/>
    <w:rsid w:val="00C7495E"/>
    <w:rsid w:val="00C770A8"/>
    <w:rsid w:val="00C93325"/>
    <w:rsid w:val="00C94D9B"/>
    <w:rsid w:val="00C978D9"/>
    <w:rsid w:val="00CA33B6"/>
    <w:rsid w:val="00CB56DF"/>
    <w:rsid w:val="00CB5C77"/>
    <w:rsid w:val="00CC28CF"/>
    <w:rsid w:val="00CC5C65"/>
    <w:rsid w:val="00CD6F26"/>
    <w:rsid w:val="00CE61A5"/>
    <w:rsid w:val="00CE6CB5"/>
    <w:rsid w:val="00CF5ECB"/>
    <w:rsid w:val="00CF641A"/>
    <w:rsid w:val="00D01BA6"/>
    <w:rsid w:val="00D02721"/>
    <w:rsid w:val="00D02912"/>
    <w:rsid w:val="00D053AD"/>
    <w:rsid w:val="00D07325"/>
    <w:rsid w:val="00D1024E"/>
    <w:rsid w:val="00D12D9C"/>
    <w:rsid w:val="00D13728"/>
    <w:rsid w:val="00D13953"/>
    <w:rsid w:val="00D150FB"/>
    <w:rsid w:val="00D1685D"/>
    <w:rsid w:val="00D16E49"/>
    <w:rsid w:val="00D20D64"/>
    <w:rsid w:val="00D301C3"/>
    <w:rsid w:val="00D30A23"/>
    <w:rsid w:val="00D34F1B"/>
    <w:rsid w:val="00D4112D"/>
    <w:rsid w:val="00D41287"/>
    <w:rsid w:val="00D41C66"/>
    <w:rsid w:val="00D41FCD"/>
    <w:rsid w:val="00D44FC0"/>
    <w:rsid w:val="00D46E6B"/>
    <w:rsid w:val="00D50E7D"/>
    <w:rsid w:val="00D51EF1"/>
    <w:rsid w:val="00D52AE2"/>
    <w:rsid w:val="00D57662"/>
    <w:rsid w:val="00D61B01"/>
    <w:rsid w:val="00D66A6F"/>
    <w:rsid w:val="00D66BA3"/>
    <w:rsid w:val="00D67D3E"/>
    <w:rsid w:val="00D72BEA"/>
    <w:rsid w:val="00D73621"/>
    <w:rsid w:val="00D76DCE"/>
    <w:rsid w:val="00D80EE0"/>
    <w:rsid w:val="00D8330A"/>
    <w:rsid w:val="00D83710"/>
    <w:rsid w:val="00D867C1"/>
    <w:rsid w:val="00D93042"/>
    <w:rsid w:val="00D94F04"/>
    <w:rsid w:val="00D9614A"/>
    <w:rsid w:val="00D97A41"/>
    <w:rsid w:val="00DA09FA"/>
    <w:rsid w:val="00DA12D4"/>
    <w:rsid w:val="00DA5A63"/>
    <w:rsid w:val="00DA607C"/>
    <w:rsid w:val="00DA7235"/>
    <w:rsid w:val="00DB0B19"/>
    <w:rsid w:val="00DB2FD7"/>
    <w:rsid w:val="00DC319F"/>
    <w:rsid w:val="00DC3976"/>
    <w:rsid w:val="00DD7CF8"/>
    <w:rsid w:val="00DE493D"/>
    <w:rsid w:val="00DE74A7"/>
    <w:rsid w:val="00DF3BE2"/>
    <w:rsid w:val="00DF4926"/>
    <w:rsid w:val="00E00EC0"/>
    <w:rsid w:val="00E0370E"/>
    <w:rsid w:val="00E04710"/>
    <w:rsid w:val="00E10123"/>
    <w:rsid w:val="00E123C5"/>
    <w:rsid w:val="00E1493D"/>
    <w:rsid w:val="00E20F7F"/>
    <w:rsid w:val="00E32551"/>
    <w:rsid w:val="00E35357"/>
    <w:rsid w:val="00E357CF"/>
    <w:rsid w:val="00E42CCD"/>
    <w:rsid w:val="00E44171"/>
    <w:rsid w:val="00E47B29"/>
    <w:rsid w:val="00E506E3"/>
    <w:rsid w:val="00E627FA"/>
    <w:rsid w:val="00E74BBC"/>
    <w:rsid w:val="00E75510"/>
    <w:rsid w:val="00E76C39"/>
    <w:rsid w:val="00E8084E"/>
    <w:rsid w:val="00E84CA8"/>
    <w:rsid w:val="00E94328"/>
    <w:rsid w:val="00EA6322"/>
    <w:rsid w:val="00EB5000"/>
    <w:rsid w:val="00EC3337"/>
    <w:rsid w:val="00EC4514"/>
    <w:rsid w:val="00EC5F7A"/>
    <w:rsid w:val="00EC688B"/>
    <w:rsid w:val="00EC6F8A"/>
    <w:rsid w:val="00ED2097"/>
    <w:rsid w:val="00ED358B"/>
    <w:rsid w:val="00ED6C0B"/>
    <w:rsid w:val="00EE0CF8"/>
    <w:rsid w:val="00EE2E07"/>
    <w:rsid w:val="00EE2EA0"/>
    <w:rsid w:val="00EE40B8"/>
    <w:rsid w:val="00EE4253"/>
    <w:rsid w:val="00EE6B3E"/>
    <w:rsid w:val="00EF1070"/>
    <w:rsid w:val="00EF30A2"/>
    <w:rsid w:val="00EF3B5C"/>
    <w:rsid w:val="00EF439B"/>
    <w:rsid w:val="00EF6D63"/>
    <w:rsid w:val="00EF720A"/>
    <w:rsid w:val="00F0682F"/>
    <w:rsid w:val="00F13E04"/>
    <w:rsid w:val="00F1441E"/>
    <w:rsid w:val="00F229A1"/>
    <w:rsid w:val="00F240DC"/>
    <w:rsid w:val="00F26FB5"/>
    <w:rsid w:val="00F3042F"/>
    <w:rsid w:val="00F30F75"/>
    <w:rsid w:val="00F33F7F"/>
    <w:rsid w:val="00F476E5"/>
    <w:rsid w:val="00F6169D"/>
    <w:rsid w:val="00F64562"/>
    <w:rsid w:val="00F70688"/>
    <w:rsid w:val="00F76A67"/>
    <w:rsid w:val="00F85FBF"/>
    <w:rsid w:val="00F87307"/>
    <w:rsid w:val="00F9022F"/>
    <w:rsid w:val="00F91C69"/>
    <w:rsid w:val="00F93736"/>
    <w:rsid w:val="00FA56A3"/>
    <w:rsid w:val="00FA575A"/>
    <w:rsid w:val="00FA6187"/>
    <w:rsid w:val="00FB118E"/>
    <w:rsid w:val="00FB4908"/>
    <w:rsid w:val="00FB658B"/>
    <w:rsid w:val="00FC29E7"/>
    <w:rsid w:val="00FC4094"/>
    <w:rsid w:val="00FC5C9A"/>
    <w:rsid w:val="00FD098A"/>
    <w:rsid w:val="00FD2802"/>
    <w:rsid w:val="00FE22D6"/>
    <w:rsid w:val="00FE2383"/>
    <w:rsid w:val="00FE5D6B"/>
    <w:rsid w:val="00FF5546"/>
    <w:rsid w:val="00FF68A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1D3AB6"/>
    <w:pPr>
      <w:suppressAutoHyphens/>
    </w:pPr>
    <w:rPr>
      <w:rFonts w:ascii="Calibri" w:hAnsi="Calibri" w:cs="Calibri"/>
      <w:sz w:val="24"/>
      <w:szCs w:val="24"/>
      <w:lang w:val="en-US" w:eastAsia="en-US" w:bidi="en-US"/>
    </w:rPr>
  </w:style>
  <w:style w:type="paragraph" w:styleId="Heading1">
    <w:name w:val="heading 1"/>
    <w:basedOn w:val="Normal"/>
    <w:next w:val="Normal"/>
    <w:qFormat/>
    <w:rsid w:val="001D3AB6"/>
    <w:pPr>
      <w:keepNext/>
      <w:spacing w:before="240" w:after="60"/>
      <w:outlineLvl w:val="0"/>
    </w:pPr>
    <w:rPr>
      <w:rFonts w:ascii="Cambria" w:hAnsi="Cambria"/>
      <w:b/>
      <w:bCs/>
      <w:kern w:val="1"/>
      <w:sz w:val="32"/>
      <w:szCs w:val="32"/>
      <w:lang w:eastAsia="ar-SA" w:bidi="ar-SA"/>
    </w:rPr>
  </w:style>
  <w:style w:type="paragraph" w:styleId="Heading2">
    <w:name w:val="heading 2"/>
    <w:basedOn w:val="Normal"/>
    <w:next w:val="Normal"/>
    <w:qFormat/>
    <w:rsid w:val="001D3AB6"/>
    <w:pPr>
      <w:keepNext/>
      <w:spacing w:before="240" w:after="60"/>
      <w:outlineLvl w:val="1"/>
    </w:pPr>
    <w:rPr>
      <w:rFonts w:ascii="Cambria" w:hAnsi="Cambria"/>
      <w:b/>
      <w:bCs/>
      <w:i/>
      <w:iCs/>
      <w:sz w:val="28"/>
      <w:szCs w:val="28"/>
      <w:lang w:eastAsia="ar-SA" w:bidi="ar-SA"/>
    </w:rPr>
  </w:style>
  <w:style w:type="paragraph" w:styleId="Heading3">
    <w:name w:val="heading 3"/>
    <w:basedOn w:val="Normal"/>
    <w:next w:val="Normal"/>
    <w:qFormat/>
    <w:rsid w:val="001D3AB6"/>
    <w:pPr>
      <w:keepNext/>
      <w:spacing w:before="240" w:after="60"/>
      <w:outlineLvl w:val="2"/>
    </w:pPr>
    <w:rPr>
      <w:rFonts w:ascii="Cambria" w:hAnsi="Cambria"/>
      <w:b/>
      <w:bCs/>
      <w:sz w:val="26"/>
      <w:szCs w:val="26"/>
      <w:lang w:eastAsia="ar-SA" w:bidi="ar-SA"/>
    </w:rPr>
  </w:style>
  <w:style w:type="paragraph" w:styleId="Heading4">
    <w:name w:val="heading 4"/>
    <w:basedOn w:val="Normal"/>
    <w:next w:val="Normal"/>
    <w:qFormat/>
    <w:rsid w:val="001D3AB6"/>
    <w:pPr>
      <w:keepNext/>
      <w:spacing w:before="240" w:after="60"/>
      <w:outlineLvl w:val="3"/>
    </w:pPr>
    <w:rPr>
      <w:b/>
      <w:bCs/>
      <w:sz w:val="28"/>
      <w:szCs w:val="28"/>
      <w:lang w:eastAsia="ar-SA" w:bidi="ar-SA"/>
    </w:rPr>
  </w:style>
  <w:style w:type="paragraph" w:styleId="Heading5">
    <w:name w:val="heading 5"/>
    <w:basedOn w:val="Normal"/>
    <w:next w:val="Normal"/>
    <w:qFormat/>
    <w:rsid w:val="001D3AB6"/>
    <w:pPr>
      <w:spacing w:before="240" w:after="60"/>
      <w:outlineLvl w:val="4"/>
    </w:pPr>
    <w:rPr>
      <w:b/>
      <w:bCs/>
      <w:i/>
      <w:iCs/>
      <w:sz w:val="26"/>
      <w:szCs w:val="26"/>
      <w:lang w:eastAsia="ar-SA" w:bidi="ar-SA"/>
    </w:rPr>
  </w:style>
  <w:style w:type="paragraph" w:styleId="Heading6">
    <w:name w:val="heading 6"/>
    <w:basedOn w:val="Normal"/>
    <w:next w:val="Normal"/>
    <w:qFormat/>
    <w:rsid w:val="001D3AB6"/>
    <w:pPr>
      <w:spacing w:before="240" w:after="60"/>
      <w:outlineLvl w:val="5"/>
    </w:pPr>
    <w:rPr>
      <w:b/>
      <w:bCs/>
      <w:sz w:val="20"/>
      <w:szCs w:val="20"/>
      <w:lang w:eastAsia="ar-SA" w:bidi="ar-SA"/>
    </w:rPr>
  </w:style>
  <w:style w:type="paragraph" w:styleId="Heading7">
    <w:name w:val="heading 7"/>
    <w:basedOn w:val="Normal"/>
    <w:next w:val="Normal"/>
    <w:qFormat/>
    <w:rsid w:val="001D3AB6"/>
    <w:pPr>
      <w:spacing w:before="240" w:after="60"/>
      <w:outlineLvl w:val="6"/>
    </w:pPr>
    <w:rPr>
      <w:lang w:eastAsia="ar-SA" w:bidi="ar-SA"/>
    </w:rPr>
  </w:style>
  <w:style w:type="paragraph" w:styleId="Heading8">
    <w:name w:val="heading 8"/>
    <w:basedOn w:val="Normal"/>
    <w:next w:val="Normal"/>
    <w:qFormat/>
    <w:rsid w:val="001D3AB6"/>
    <w:pPr>
      <w:spacing w:before="240" w:after="60"/>
      <w:outlineLvl w:val="7"/>
    </w:pPr>
    <w:rPr>
      <w:i/>
      <w:iCs/>
      <w:lang w:eastAsia="ar-SA" w:bidi="ar-SA"/>
    </w:rPr>
  </w:style>
  <w:style w:type="paragraph" w:styleId="Heading9">
    <w:name w:val="heading 9"/>
    <w:basedOn w:val="Normal"/>
    <w:next w:val="Normal"/>
    <w:qFormat/>
    <w:rsid w:val="001D3AB6"/>
    <w:pPr>
      <w:spacing w:before="240" w:after="60"/>
      <w:outlineLvl w:val="8"/>
    </w:pPr>
    <w:rPr>
      <w:rFonts w:ascii="Cambria" w:hAnsi="Cambria"/>
      <w:sz w:val="20"/>
      <w:szCs w:val="20"/>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10pt">
    <w:name w:val="Body text Arial 10pt"/>
    <w:basedOn w:val="Normal"/>
    <w:qFormat/>
    <w:rsid w:val="006927E8"/>
    <w:pPr>
      <w:spacing w:before="120" w:after="120"/>
    </w:pPr>
    <w:rPr>
      <w:rFonts w:ascii="Arial" w:hAnsi="Arial" w:cs="Arial"/>
      <w:sz w:val="20"/>
      <w:szCs w:val="22"/>
    </w:rPr>
  </w:style>
  <w:style w:type="paragraph" w:customStyle="1" w:styleId="Subhead-Arial12ptbold">
    <w:name w:val="Subhead - Arial 12pt bold"/>
    <w:basedOn w:val="Normal"/>
    <w:qFormat/>
    <w:rsid w:val="006927E8"/>
    <w:rPr>
      <w:rFonts w:ascii="Arial Bold" w:hAnsi="Arial Bold"/>
      <w:color w:val="272727"/>
    </w:rPr>
  </w:style>
  <w:style w:type="paragraph" w:customStyle="1" w:styleId="TOCheader">
    <w:name w:val="TOC header"/>
    <w:basedOn w:val="BasicParagraph"/>
    <w:qFormat/>
    <w:rsid w:val="004E4E1A"/>
    <w:pPr>
      <w:tabs>
        <w:tab w:val="right" w:pos="7938"/>
      </w:tabs>
      <w:spacing w:before="200"/>
    </w:pPr>
    <w:rPr>
      <w:rFonts w:ascii="Arial" w:hAnsi="Arial"/>
      <w:b/>
    </w:rPr>
  </w:style>
  <w:style w:type="paragraph" w:customStyle="1" w:styleId="BasicParagraph">
    <w:name w:val="[Basic Paragraph]"/>
    <w:basedOn w:val="Normal"/>
    <w:uiPriority w:val="99"/>
    <w:rsid w:val="00E35F04"/>
    <w:pPr>
      <w:widowControl w:val="0"/>
      <w:suppressAutoHyphens w:val="0"/>
      <w:autoSpaceDE w:val="0"/>
      <w:autoSpaceDN w:val="0"/>
      <w:adjustRightInd w:val="0"/>
      <w:spacing w:line="288" w:lineRule="auto"/>
      <w:textAlignment w:val="center"/>
    </w:pPr>
    <w:rPr>
      <w:rFonts w:ascii="MinionPro-Regular" w:hAnsi="MinionPro-Regular" w:cs="MinionPro-Regular"/>
      <w:color w:val="000000"/>
      <w:lang w:val="en-GB" w:bidi="ar-SA"/>
    </w:rPr>
  </w:style>
  <w:style w:type="paragraph" w:customStyle="1" w:styleId="TOCsubhead">
    <w:name w:val="TOC subhead"/>
    <w:basedOn w:val="BasicParagraph"/>
    <w:qFormat/>
    <w:rsid w:val="004E4E1A"/>
    <w:pPr>
      <w:tabs>
        <w:tab w:val="right" w:pos="7938"/>
      </w:tabs>
      <w:spacing w:before="120"/>
    </w:pPr>
    <w:rPr>
      <w:rFonts w:ascii="Arial" w:hAnsi="Arial"/>
      <w:b/>
      <w:sz w:val="20"/>
    </w:rPr>
  </w:style>
  <w:style w:type="paragraph" w:customStyle="1" w:styleId="TOCbody">
    <w:name w:val="TOC body"/>
    <w:basedOn w:val="BasicParagraph"/>
    <w:qFormat/>
    <w:rsid w:val="004E4E1A"/>
    <w:pPr>
      <w:tabs>
        <w:tab w:val="right" w:pos="7938"/>
      </w:tabs>
    </w:pPr>
    <w:rPr>
      <w:rFonts w:ascii="Arial" w:hAnsi="Arial"/>
      <w:sz w:val="20"/>
    </w:rPr>
  </w:style>
  <w:style w:type="paragraph" w:customStyle="1" w:styleId="header14ptorangebold">
    <w:name w:val="header 14pt orange bold"/>
    <w:basedOn w:val="Normal"/>
    <w:uiPriority w:val="99"/>
    <w:rsid w:val="00453AAC"/>
    <w:pPr>
      <w:widowControl w:val="0"/>
      <w:autoSpaceDE w:val="0"/>
      <w:autoSpaceDN w:val="0"/>
      <w:adjustRightInd w:val="0"/>
      <w:spacing w:line="320" w:lineRule="atLeast"/>
      <w:textAlignment w:val="center"/>
    </w:pPr>
    <w:rPr>
      <w:rFonts w:ascii="Arial Bold" w:hAnsi="Arial Bold" w:cs="Futura-Bold"/>
      <w:bCs/>
      <w:color w:val="DF6C08"/>
      <w:sz w:val="28"/>
      <w:szCs w:val="28"/>
      <w:lang w:val="en-GB" w:bidi="ar-SA"/>
    </w:rPr>
  </w:style>
  <w:style w:type="character" w:styleId="Hyperlink">
    <w:name w:val="Hyperlink"/>
    <w:basedOn w:val="DefaultParagraphFont"/>
    <w:uiPriority w:val="99"/>
    <w:rsid w:val="0000224A"/>
    <w:rPr>
      <w:color w:val="0000FF"/>
      <w:u w:val="single"/>
    </w:rPr>
  </w:style>
  <w:style w:type="paragraph" w:styleId="Header">
    <w:name w:val="header"/>
    <w:basedOn w:val="Normal"/>
    <w:link w:val="HeaderChar"/>
    <w:uiPriority w:val="99"/>
    <w:rsid w:val="00561964"/>
    <w:pPr>
      <w:tabs>
        <w:tab w:val="center" w:pos="4320"/>
        <w:tab w:val="right" w:pos="8640"/>
      </w:tabs>
    </w:pPr>
  </w:style>
  <w:style w:type="character" w:customStyle="1" w:styleId="HeaderChar">
    <w:name w:val="Header Char"/>
    <w:basedOn w:val="DefaultParagraphFont"/>
    <w:link w:val="Header"/>
    <w:uiPriority w:val="99"/>
    <w:rsid w:val="00561964"/>
    <w:rPr>
      <w:rFonts w:ascii="Calibri" w:hAnsi="Calibri" w:cs="Calibri"/>
      <w:sz w:val="24"/>
      <w:szCs w:val="24"/>
      <w:lang w:val="en-US" w:bidi="en-US"/>
    </w:rPr>
  </w:style>
  <w:style w:type="paragraph" w:styleId="Footer">
    <w:name w:val="footer"/>
    <w:basedOn w:val="Normal"/>
    <w:link w:val="FooterChar"/>
    <w:uiPriority w:val="99"/>
    <w:rsid w:val="00561964"/>
    <w:pPr>
      <w:tabs>
        <w:tab w:val="center" w:pos="4320"/>
        <w:tab w:val="right" w:pos="8640"/>
      </w:tabs>
    </w:pPr>
  </w:style>
  <w:style w:type="character" w:customStyle="1" w:styleId="FooterChar">
    <w:name w:val="Footer Char"/>
    <w:basedOn w:val="DefaultParagraphFont"/>
    <w:link w:val="Footer"/>
    <w:uiPriority w:val="99"/>
    <w:rsid w:val="00561964"/>
    <w:rPr>
      <w:rFonts w:ascii="Calibri" w:hAnsi="Calibri" w:cs="Calibri"/>
      <w:sz w:val="24"/>
      <w:szCs w:val="24"/>
      <w:lang w:val="en-US" w:bidi="en-US"/>
    </w:rPr>
  </w:style>
  <w:style w:type="paragraph" w:styleId="FootnoteText">
    <w:name w:val="footnote text"/>
    <w:basedOn w:val="Normal"/>
    <w:link w:val="FootnoteTextChar"/>
    <w:uiPriority w:val="99"/>
    <w:rsid w:val="00AE2646"/>
    <w:rPr>
      <w:sz w:val="20"/>
      <w:szCs w:val="20"/>
    </w:rPr>
  </w:style>
  <w:style w:type="character" w:customStyle="1" w:styleId="FootnoteTextChar">
    <w:name w:val="Footnote Text Char"/>
    <w:basedOn w:val="DefaultParagraphFont"/>
    <w:link w:val="FootnoteText"/>
    <w:uiPriority w:val="99"/>
    <w:rsid w:val="00AE2646"/>
    <w:rPr>
      <w:rFonts w:ascii="Calibri" w:hAnsi="Calibri" w:cs="Calibri"/>
      <w:lang w:val="en-US" w:eastAsia="en-US" w:bidi="en-US"/>
    </w:rPr>
  </w:style>
  <w:style w:type="character" w:styleId="FootnoteReference">
    <w:name w:val="footnote reference"/>
    <w:basedOn w:val="DefaultParagraphFont"/>
    <w:uiPriority w:val="99"/>
    <w:rsid w:val="00AE2646"/>
    <w:rPr>
      <w:vertAlign w:val="superscript"/>
    </w:rPr>
  </w:style>
  <w:style w:type="paragraph" w:styleId="BalloonText">
    <w:name w:val="Balloon Text"/>
    <w:basedOn w:val="Normal"/>
    <w:link w:val="BalloonTextChar"/>
    <w:uiPriority w:val="99"/>
    <w:rsid w:val="003750CA"/>
    <w:rPr>
      <w:rFonts w:ascii="Tahoma" w:hAnsi="Tahoma" w:cs="Tahoma"/>
      <w:sz w:val="16"/>
      <w:szCs w:val="16"/>
    </w:rPr>
  </w:style>
  <w:style w:type="character" w:customStyle="1" w:styleId="BalloonTextChar">
    <w:name w:val="Balloon Text Char"/>
    <w:basedOn w:val="DefaultParagraphFont"/>
    <w:link w:val="BalloonText"/>
    <w:uiPriority w:val="99"/>
    <w:rsid w:val="003750CA"/>
    <w:rPr>
      <w:rFonts w:ascii="Tahoma" w:hAnsi="Tahoma" w:cs="Tahoma"/>
      <w:sz w:val="16"/>
      <w:szCs w:val="16"/>
      <w:lang w:val="en-US" w:eastAsia="en-US" w:bidi="en-US"/>
    </w:rPr>
  </w:style>
  <w:style w:type="paragraph" w:styleId="ListParagraph">
    <w:name w:val="List Paragraph"/>
    <w:basedOn w:val="Normal"/>
    <w:uiPriority w:val="34"/>
    <w:qFormat/>
    <w:rsid w:val="00D50E7D"/>
    <w:pPr>
      <w:suppressAutoHyphens w:val="0"/>
      <w:spacing w:after="200" w:line="276" w:lineRule="auto"/>
      <w:ind w:left="720"/>
      <w:contextualSpacing/>
    </w:pPr>
    <w:rPr>
      <w:rFonts w:eastAsia="Calibri" w:cs="Times New Roman"/>
      <w:sz w:val="22"/>
      <w:szCs w:val="22"/>
      <w:lang w:val="en-AU" w:bidi="ar-SA"/>
    </w:rPr>
  </w:style>
  <w:style w:type="paragraph" w:customStyle="1" w:styleId="p">
    <w:name w:val="p"/>
    <w:basedOn w:val="Normal"/>
    <w:rsid w:val="00D50E7D"/>
    <w:pPr>
      <w:suppressAutoHyphens w:val="0"/>
      <w:ind w:left="75" w:right="75"/>
    </w:pPr>
    <w:rPr>
      <w:rFonts w:ascii="Arial" w:hAnsi="Arial" w:cs="Arial"/>
      <w:sz w:val="20"/>
      <w:szCs w:val="20"/>
      <w:lang w:val="en-AU" w:eastAsia="en-AU" w:bidi="ar-SA"/>
    </w:rPr>
  </w:style>
  <w:style w:type="character" w:styleId="CommentReference">
    <w:name w:val="annotation reference"/>
    <w:basedOn w:val="DefaultParagraphFont"/>
    <w:uiPriority w:val="99"/>
    <w:rsid w:val="00D50E7D"/>
    <w:rPr>
      <w:sz w:val="16"/>
      <w:szCs w:val="16"/>
    </w:rPr>
  </w:style>
  <w:style w:type="paragraph" w:styleId="CommentText">
    <w:name w:val="annotation text"/>
    <w:basedOn w:val="Normal"/>
    <w:link w:val="CommentTextChar"/>
    <w:uiPriority w:val="99"/>
    <w:rsid w:val="00D50E7D"/>
    <w:rPr>
      <w:sz w:val="20"/>
      <w:szCs w:val="20"/>
    </w:rPr>
  </w:style>
  <w:style w:type="character" w:customStyle="1" w:styleId="CommentTextChar">
    <w:name w:val="Comment Text Char"/>
    <w:basedOn w:val="DefaultParagraphFont"/>
    <w:link w:val="CommentText"/>
    <w:uiPriority w:val="99"/>
    <w:rsid w:val="00D50E7D"/>
    <w:rPr>
      <w:rFonts w:ascii="Calibri" w:hAnsi="Calibri" w:cs="Calibri"/>
      <w:lang w:val="en-US" w:eastAsia="en-US" w:bidi="en-US"/>
    </w:rPr>
  </w:style>
  <w:style w:type="paragraph" w:customStyle="1" w:styleId="TTH">
    <w:name w:val="TTH"/>
    <w:basedOn w:val="Normal"/>
    <w:rsid w:val="00586B57"/>
    <w:pPr>
      <w:pBdr>
        <w:bottom w:val="single" w:sz="4" w:space="1" w:color="000080"/>
      </w:pBdr>
    </w:pPr>
    <w:rPr>
      <w:rFonts w:ascii="Arial Narrow" w:hAnsi="Arial Narrow"/>
      <w:b/>
      <w:color w:val="083A75"/>
    </w:rPr>
  </w:style>
  <w:style w:type="paragraph" w:customStyle="1" w:styleId="TTSH">
    <w:name w:val="TTSH"/>
    <w:basedOn w:val="Normal"/>
    <w:rsid w:val="00586B57"/>
    <w:rPr>
      <w:rFonts w:ascii="Arial Narrow" w:hAnsi="Arial Narrow"/>
      <w:b/>
      <w:color w:val="1F497D"/>
      <w:sz w:val="22"/>
      <w:szCs w:val="22"/>
    </w:rPr>
  </w:style>
  <w:style w:type="paragraph" w:customStyle="1" w:styleId="base-text-paragraph">
    <w:name w:val="base-text-paragraph"/>
    <w:basedOn w:val="Normal"/>
    <w:rsid w:val="00586B57"/>
    <w:pPr>
      <w:tabs>
        <w:tab w:val="num" w:pos="0"/>
      </w:tabs>
      <w:spacing w:before="120" w:after="120"/>
    </w:pPr>
    <w:rPr>
      <w:rFonts w:ascii="Times New Roman" w:hAnsi="Times New Roman"/>
      <w:sz w:val="22"/>
      <w:szCs w:val="20"/>
      <w:lang w:val="en-AU" w:eastAsia="ar-SA" w:bidi="ar-SA"/>
    </w:rPr>
  </w:style>
  <w:style w:type="paragraph" w:customStyle="1" w:styleId="IPAHeading">
    <w:name w:val="IPA Heading"/>
    <w:basedOn w:val="header14ptorangebold"/>
    <w:autoRedefine/>
    <w:qFormat/>
    <w:rsid w:val="00FC29E7"/>
    <w:pPr>
      <w:ind w:left="567" w:right="-150" w:hanging="567"/>
    </w:pPr>
    <w:rPr>
      <w:rFonts w:ascii="Arial" w:hAnsi="Arial" w:cs="Arial"/>
      <w:b/>
      <w:color w:val="E06C08"/>
    </w:rPr>
  </w:style>
  <w:style w:type="paragraph" w:customStyle="1" w:styleId="IPASubHeading">
    <w:name w:val="IPA Sub Heading"/>
    <w:basedOn w:val="Normal"/>
    <w:autoRedefine/>
    <w:qFormat/>
    <w:rsid w:val="00017E1A"/>
    <w:pPr>
      <w:jc w:val="both"/>
    </w:pPr>
    <w:rPr>
      <w:rFonts w:ascii="Arial" w:hAnsi="Arial" w:cs="Arial"/>
      <w:b/>
      <w:i/>
      <w:color w:val="595959"/>
      <w:sz w:val="20"/>
      <w:szCs w:val="20"/>
      <w:lang w:val="en-AU"/>
    </w:rPr>
  </w:style>
  <w:style w:type="character" w:styleId="FollowedHyperlink">
    <w:name w:val="FollowedHyperlink"/>
    <w:basedOn w:val="DefaultParagraphFont"/>
    <w:rsid w:val="00B4372A"/>
    <w:rPr>
      <w:color w:val="800080"/>
      <w:u w:val="single"/>
    </w:rPr>
  </w:style>
  <w:style w:type="paragraph" w:styleId="TOC2">
    <w:name w:val="toc 2"/>
    <w:basedOn w:val="Normal"/>
    <w:next w:val="Normal"/>
    <w:autoRedefine/>
    <w:uiPriority w:val="39"/>
    <w:rsid w:val="00F6169D"/>
    <w:pPr>
      <w:spacing w:after="100"/>
      <w:ind w:left="240"/>
    </w:pPr>
    <w:rPr>
      <w:rFonts w:ascii="Arial" w:hAnsi="Arial"/>
      <w:color w:val="484E41"/>
      <w:sz w:val="20"/>
    </w:rPr>
  </w:style>
  <w:style w:type="paragraph" w:styleId="TOC1">
    <w:name w:val="toc 1"/>
    <w:basedOn w:val="Normal"/>
    <w:next w:val="Normal"/>
    <w:autoRedefine/>
    <w:uiPriority w:val="39"/>
    <w:rsid w:val="00A654DF"/>
    <w:pPr>
      <w:tabs>
        <w:tab w:val="right" w:leader="dot" w:pos="9054"/>
      </w:tabs>
      <w:spacing w:after="100"/>
    </w:pPr>
    <w:rPr>
      <w:rFonts w:ascii="Arial" w:hAnsi="Arial"/>
      <w:noProof/>
      <w:color w:val="484E41"/>
      <w:sz w:val="20"/>
      <w:szCs w:val="20"/>
    </w:rPr>
  </w:style>
  <w:style w:type="character" w:styleId="Emphasis">
    <w:name w:val="Emphasis"/>
    <w:basedOn w:val="DefaultParagraphFont"/>
    <w:uiPriority w:val="20"/>
    <w:qFormat/>
    <w:rsid w:val="00DA09FA"/>
    <w:rPr>
      <w:i/>
      <w:iCs/>
    </w:rPr>
  </w:style>
  <w:style w:type="paragraph" w:customStyle="1" w:styleId="Default">
    <w:name w:val="Default"/>
    <w:rsid w:val="00DF4926"/>
    <w:pPr>
      <w:autoSpaceDE w:val="0"/>
      <w:autoSpaceDN w:val="0"/>
      <w:adjustRightInd w:val="0"/>
    </w:pPr>
    <w:rPr>
      <w:rFonts w:eastAsia="Calibri"/>
      <w:color w:val="000000"/>
      <w:sz w:val="24"/>
      <w:szCs w:val="24"/>
      <w:lang w:eastAsia="en-US"/>
    </w:rPr>
  </w:style>
  <w:style w:type="paragraph" w:customStyle="1" w:styleId="OneLevelNumberedParagraph">
    <w:name w:val="One Level Numbered Paragraph"/>
    <w:basedOn w:val="Normal"/>
    <w:rsid w:val="00DF4926"/>
    <w:pPr>
      <w:numPr>
        <w:numId w:val="38"/>
      </w:numPr>
      <w:suppressAutoHyphens w:val="0"/>
      <w:spacing w:after="240" w:line="280" w:lineRule="exact"/>
      <w:jc w:val="both"/>
    </w:pPr>
    <w:rPr>
      <w:rFonts w:cs="Times New Roman"/>
      <w:color w:val="000000"/>
      <w:sz w:val="22"/>
      <w:szCs w:val="20"/>
      <w:lang w:val="en-AU" w:eastAsia="en-AU" w:bidi="ar-SA"/>
    </w:rPr>
  </w:style>
  <w:style w:type="paragraph" w:styleId="CommentSubject">
    <w:name w:val="annotation subject"/>
    <w:basedOn w:val="CommentText"/>
    <w:next w:val="CommentText"/>
    <w:link w:val="CommentSubjectChar"/>
    <w:uiPriority w:val="99"/>
    <w:unhideWhenUsed/>
    <w:rsid w:val="00DF4926"/>
    <w:rPr>
      <w:b/>
      <w:bCs/>
    </w:rPr>
  </w:style>
  <w:style w:type="character" w:customStyle="1" w:styleId="CommentSubjectChar">
    <w:name w:val="Comment Subject Char"/>
    <w:basedOn w:val="CommentTextChar"/>
    <w:link w:val="CommentSubject"/>
    <w:uiPriority w:val="99"/>
    <w:rsid w:val="00DF4926"/>
    <w:rPr>
      <w:rFonts w:ascii="Calibri" w:hAnsi="Calibri" w:cs="Calibri"/>
      <w:b/>
      <w:bCs/>
      <w:lang w:val="en-US" w:eastAsia="en-US" w:bidi="en-US"/>
    </w:rPr>
  </w:style>
  <w:style w:type="paragraph" w:customStyle="1" w:styleId="CM26">
    <w:name w:val="CM26"/>
    <w:basedOn w:val="Default"/>
    <w:next w:val="Default"/>
    <w:uiPriority w:val="99"/>
    <w:rsid w:val="00823EF8"/>
    <w:rPr>
      <w:rFonts w:ascii="Calibri" w:eastAsia="SimSun" w:hAnsi="Calibri"/>
      <w:color w:val="auto"/>
      <w:lang w:eastAsia="en-AU"/>
    </w:rPr>
  </w:style>
  <w:style w:type="paragraph" w:customStyle="1" w:styleId="BoxHeading">
    <w:name w:val="Box Heading"/>
    <w:basedOn w:val="Normal"/>
    <w:next w:val="BoxText"/>
    <w:rsid w:val="006946EA"/>
    <w:pPr>
      <w:keepNext/>
      <w:suppressAutoHyphens w:val="0"/>
      <w:spacing w:before="240" w:after="120"/>
    </w:pPr>
    <w:rPr>
      <w:rFonts w:cs="Times New Roman"/>
      <w:b/>
      <w:color w:val="342E82"/>
      <w:sz w:val="22"/>
      <w:szCs w:val="20"/>
      <w:lang w:val="en-AU" w:eastAsia="en-AU" w:bidi="ar-SA"/>
    </w:rPr>
  </w:style>
  <w:style w:type="paragraph" w:customStyle="1" w:styleId="BoxText">
    <w:name w:val="Box Text"/>
    <w:basedOn w:val="Normal"/>
    <w:rsid w:val="006946EA"/>
    <w:pPr>
      <w:suppressAutoHyphens w:val="0"/>
      <w:spacing w:after="240" w:line="280" w:lineRule="exact"/>
      <w:jc w:val="both"/>
    </w:pPr>
    <w:rPr>
      <w:rFonts w:asciiTheme="minorHAnsi" w:hAnsiTheme="minorHAnsi" w:cs="Times New Roman"/>
      <w:color w:val="000000"/>
      <w:sz w:val="22"/>
      <w:szCs w:val="20"/>
      <w:lang w:val="en-AU" w:eastAsia="en-AU" w:bidi="ar-SA"/>
    </w:rPr>
  </w:style>
  <w:style w:type="character" w:customStyle="1" w:styleId="uficommentbody">
    <w:name w:val="uficommentbody"/>
    <w:basedOn w:val="DefaultParagraphFont"/>
    <w:rsid w:val="00AC6BC9"/>
  </w:style>
  <w:style w:type="table" w:styleId="TableGrid">
    <w:name w:val="Table Grid"/>
    <w:basedOn w:val="TableNormal"/>
    <w:rsid w:val="004225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7262230">
      <w:bodyDiv w:val="1"/>
      <w:marLeft w:val="0"/>
      <w:marRight w:val="0"/>
      <w:marTop w:val="0"/>
      <w:marBottom w:val="0"/>
      <w:divBdr>
        <w:top w:val="none" w:sz="0" w:space="0" w:color="auto"/>
        <w:left w:val="none" w:sz="0" w:space="0" w:color="auto"/>
        <w:bottom w:val="none" w:sz="0" w:space="0" w:color="auto"/>
        <w:right w:val="none" w:sz="0" w:space="0" w:color="auto"/>
      </w:divBdr>
    </w:div>
    <w:div w:id="127679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perannuation@treasury.gov.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publicaccountants.org.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eadoffice@publicaccountants.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ny.greco@publicaccountants.org.au"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F34FB163ABCE47A29E3253669CD8B1" ma:contentTypeVersion="0" ma:contentTypeDescription="Create a new document." ma:contentTypeScope="" ma:versionID="ce56d01a56b49f81565c9c0b73f4f46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B7523C-E731-4072-A7DF-A39E0242B5D1}">
  <ds:schemaRefs>
    <ds:schemaRef ds:uri="http://www.w3.org/XML/1998/namespace"/>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55BA3465-EDA2-4BFA-AA4A-9C212C93FEBF}">
  <ds:schemaRefs>
    <ds:schemaRef ds:uri="http://schemas.microsoft.com/sharepoint/v3/contenttype/forms"/>
  </ds:schemaRefs>
</ds:datastoreItem>
</file>

<file path=customXml/itemProps3.xml><?xml version="1.0" encoding="utf-8"?>
<ds:datastoreItem xmlns:ds="http://schemas.openxmlformats.org/officeDocument/2006/customXml" ds:itemID="{BDFA33FE-D1F2-4D4C-8220-AD530C8DF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A56D65E-E954-45D5-AD9E-9A6177C3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4708</Words>
  <Characters>26841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IPA</Company>
  <LinksUpToDate>false</LinksUpToDate>
  <CharactersWithSpaces>31487</CharactersWithSpaces>
  <SharedDoc>false</SharedDoc>
  <HLinks>
    <vt:vector size="480" baseType="variant">
      <vt:variant>
        <vt:i4>4915245</vt:i4>
      </vt:variant>
      <vt:variant>
        <vt:i4>396</vt:i4>
      </vt:variant>
      <vt:variant>
        <vt:i4>0</vt:i4>
      </vt:variant>
      <vt:variant>
        <vt:i4>5</vt:i4>
      </vt:variant>
      <vt:variant>
        <vt:lpwstr>mailto:headoffice@publicaccountants.org.au</vt:lpwstr>
      </vt:variant>
      <vt:variant>
        <vt:lpwstr/>
      </vt:variant>
      <vt:variant>
        <vt:i4>5963857</vt:i4>
      </vt:variant>
      <vt:variant>
        <vt:i4>393</vt:i4>
      </vt:variant>
      <vt:variant>
        <vt:i4>0</vt:i4>
      </vt:variant>
      <vt:variant>
        <vt:i4>5</vt:i4>
      </vt:variant>
      <vt:variant>
        <vt:lpwstr/>
      </vt:variant>
      <vt:variant>
        <vt:lpwstr>BM36</vt:lpwstr>
      </vt:variant>
      <vt:variant>
        <vt:i4>5767249</vt:i4>
      </vt:variant>
      <vt:variant>
        <vt:i4>390</vt:i4>
      </vt:variant>
      <vt:variant>
        <vt:i4>0</vt:i4>
      </vt:variant>
      <vt:variant>
        <vt:i4>5</vt:i4>
      </vt:variant>
      <vt:variant>
        <vt:lpwstr/>
      </vt:variant>
      <vt:variant>
        <vt:lpwstr>BM35</vt:lpwstr>
      </vt:variant>
      <vt:variant>
        <vt:i4>5832785</vt:i4>
      </vt:variant>
      <vt:variant>
        <vt:i4>387</vt:i4>
      </vt:variant>
      <vt:variant>
        <vt:i4>0</vt:i4>
      </vt:variant>
      <vt:variant>
        <vt:i4>5</vt:i4>
      </vt:variant>
      <vt:variant>
        <vt:lpwstr/>
      </vt:variant>
      <vt:variant>
        <vt:lpwstr>BM34</vt:lpwstr>
      </vt:variant>
      <vt:variant>
        <vt:i4>6160465</vt:i4>
      </vt:variant>
      <vt:variant>
        <vt:i4>384</vt:i4>
      </vt:variant>
      <vt:variant>
        <vt:i4>0</vt:i4>
      </vt:variant>
      <vt:variant>
        <vt:i4>5</vt:i4>
      </vt:variant>
      <vt:variant>
        <vt:lpwstr/>
      </vt:variant>
      <vt:variant>
        <vt:lpwstr>BM33</vt:lpwstr>
      </vt:variant>
      <vt:variant>
        <vt:i4>6226001</vt:i4>
      </vt:variant>
      <vt:variant>
        <vt:i4>381</vt:i4>
      </vt:variant>
      <vt:variant>
        <vt:i4>0</vt:i4>
      </vt:variant>
      <vt:variant>
        <vt:i4>5</vt:i4>
      </vt:variant>
      <vt:variant>
        <vt:lpwstr/>
      </vt:variant>
      <vt:variant>
        <vt:lpwstr>BM32</vt:lpwstr>
      </vt:variant>
      <vt:variant>
        <vt:i4>6029393</vt:i4>
      </vt:variant>
      <vt:variant>
        <vt:i4>378</vt:i4>
      </vt:variant>
      <vt:variant>
        <vt:i4>0</vt:i4>
      </vt:variant>
      <vt:variant>
        <vt:i4>5</vt:i4>
      </vt:variant>
      <vt:variant>
        <vt:lpwstr/>
      </vt:variant>
      <vt:variant>
        <vt:lpwstr>BM31</vt:lpwstr>
      </vt:variant>
      <vt:variant>
        <vt:i4>6094929</vt:i4>
      </vt:variant>
      <vt:variant>
        <vt:i4>375</vt:i4>
      </vt:variant>
      <vt:variant>
        <vt:i4>0</vt:i4>
      </vt:variant>
      <vt:variant>
        <vt:i4>5</vt:i4>
      </vt:variant>
      <vt:variant>
        <vt:lpwstr/>
      </vt:variant>
      <vt:variant>
        <vt:lpwstr>BM30</vt:lpwstr>
      </vt:variant>
      <vt:variant>
        <vt:i4>5505104</vt:i4>
      </vt:variant>
      <vt:variant>
        <vt:i4>372</vt:i4>
      </vt:variant>
      <vt:variant>
        <vt:i4>0</vt:i4>
      </vt:variant>
      <vt:variant>
        <vt:i4>5</vt:i4>
      </vt:variant>
      <vt:variant>
        <vt:lpwstr/>
      </vt:variant>
      <vt:variant>
        <vt:lpwstr>BM29</vt:lpwstr>
      </vt:variant>
      <vt:variant>
        <vt:i4>5570640</vt:i4>
      </vt:variant>
      <vt:variant>
        <vt:i4>369</vt:i4>
      </vt:variant>
      <vt:variant>
        <vt:i4>0</vt:i4>
      </vt:variant>
      <vt:variant>
        <vt:i4>5</vt:i4>
      </vt:variant>
      <vt:variant>
        <vt:lpwstr/>
      </vt:variant>
      <vt:variant>
        <vt:lpwstr>BM28</vt:lpwstr>
      </vt:variant>
      <vt:variant>
        <vt:i4>5898320</vt:i4>
      </vt:variant>
      <vt:variant>
        <vt:i4>366</vt:i4>
      </vt:variant>
      <vt:variant>
        <vt:i4>0</vt:i4>
      </vt:variant>
      <vt:variant>
        <vt:i4>5</vt:i4>
      </vt:variant>
      <vt:variant>
        <vt:lpwstr/>
      </vt:variant>
      <vt:variant>
        <vt:lpwstr>BM27</vt:lpwstr>
      </vt:variant>
      <vt:variant>
        <vt:i4>5963856</vt:i4>
      </vt:variant>
      <vt:variant>
        <vt:i4>363</vt:i4>
      </vt:variant>
      <vt:variant>
        <vt:i4>0</vt:i4>
      </vt:variant>
      <vt:variant>
        <vt:i4>5</vt:i4>
      </vt:variant>
      <vt:variant>
        <vt:lpwstr/>
      </vt:variant>
      <vt:variant>
        <vt:lpwstr>BM26</vt:lpwstr>
      </vt:variant>
      <vt:variant>
        <vt:i4>5767248</vt:i4>
      </vt:variant>
      <vt:variant>
        <vt:i4>360</vt:i4>
      </vt:variant>
      <vt:variant>
        <vt:i4>0</vt:i4>
      </vt:variant>
      <vt:variant>
        <vt:i4>5</vt:i4>
      </vt:variant>
      <vt:variant>
        <vt:lpwstr/>
      </vt:variant>
      <vt:variant>
        <vt:lpwstr>BM25</vt:lpwstr>
      </vt:variant>
      <vt:variant>
        <vt:i4>5832784</vt:i4>
      </vt:variant>
      <vt:variant>
        <vt:i4>357</vt:i4>
      </vt:variant>
      <vt:variant>
        <vt:i4>0</vt:i4>
      </vt:variant>
      <vt:variant>
        <vt:i4>5</vt:i4>
      </vt:variant>
      <vt:variant>
        <vt:lpwstr/>
      </vt:variant>
      <vt:variant>
        <vt:lpwstr>BM24</vt:lpwstr>
      </vt:variant>
      <vt:variant>
        <vt:i4>6160464</vt:i4>
      </vt:variant>
      <vt:variant>
        <vt:i4>354</vt:i4>
      </vt:variant>
      <vt:variant>
        <vt:i4>0</vt:i4>
      </vt:variant>
      <vt:variant>
        <vt:i4>5</vt:i4>
      </vt:variant>
      <vt:variant>
        <vt:lpwstr/>
      </vt:variant>
      <vt:variant>
        <vt:lpwstr>BM23</vt:lpwstr>
      </vt:variant>
      <vt:variant>
        <vt:i4>6226000</vt:i4>
      </vt:variant>
      <vt:variant>
        <vt:i4>351</vt:i4>
      </vt:variant>
      <vt:variant>
        <vt:i4>0</vt:i4>
      </vt:variant>
      <vt:variant>
        <vt:i4>5</vt:i4>
      </vt:variant>
      <vt:variant>
        <vt:lpwstr/>
      </vt:variant>
      <vt:variant>
        <vt:lpwstr>BM22</vt:lpwstr>
      </vt:variant>
      <vt:variant>
        <vt:i4>6029392</vt:i4>
      </vt:variant>
      <vt:variant>
        <vt:i4>348</vt:i4>
      </vt:variant>
      <vt:variant>
        <vt:i4>0</vt:i4>
      </vt:variant>
      <vt:variant>
        <vt:i4>5</vt:i4>
      </vt:variant>
      <vt:variant>
        <vt:lpwstr/>
      </vt:variant>
      <vt:variant>
        <vt:lpwstr>BM21</vt:lpwstr>
      </vt:variant>
      <vt:variant>
        <vt:i4>6094928</vt:i4>
      </vt:variant>
      <vt:variant>
        <vt:i4>345</vt:i4>
      </vt:variant>
      <vt:variant>
        <vt:i4>0</vt:i4>
      </vt:variant>
      <vt:variant>
        <vt:i4>5</vt:i4>
      </vt:variant>
      <vt:variant>
        <vt:lpwstr/>
      </vt:variant>
      <vt:variant>
        <vt:lpwstr>BM20</vt:lpwstr>
      </vt:variant>
      <vt:variant>
        <vt:i4>5505107</vt:i4>
      </vt:variant>
      <vt:variant>
        <vt:i4>342</vt:i4>
      </vt:variant>
      <vt:variant>
        <vt:i4>0</vt:i4>
      </vt:variant>
      <vt:variant>
        <vt:i4>5</vt:i4>
      </vt:variant>
      <vt:variant>
        <vt:lpwstr/>
      </vt:variant>
      <vt:variant>
        <vt:lpwstr>BM19</vt:lpwstr>
      </vt:variant>
      <vt:variant>
        <vt:i4>5570643</vt:i4>
      </vt:variant>
      <vt:variant>
        <vt:i4>339</vt:i4>
      </vt:variant>
      <vt:variant>
        <vt:i4>0</vt:i4>
      </vt:variant>
      <vt:variant>
        <vt:i4>5</vt:i4>
      </vt:variant>
      <vt:variant>
        <vt:lpwstr/>
      </vt:variant>
      <vt:variant>
        <vt:lpwstr>BM18</vt:lpwstr>
      </vt:variant>
      <vt:variant>
        <vt:i4>5898323</vt:i4>
      </vt:variant>
      <vt:variant>
        <vt:i4>336</vt:i4>
      </vt:variant>
      <vt:variant>
        <vt:i4>0</vt:i4>
      </vt:variant>
      <vt:variant>
        <vt:i4>5</vt:i4>
      </vt:variant>
      <vt:variant>
        <vt:lpwstr/>
      </vt:variant>
      <vt:variant>
        <vt:lpwstr>BM174</vt:lpwstr>
      </vt:variant>
      <vt:variant>
        <vt:i4>5963859</vt:i4>
      </vt:variant>
      <vt:variant>
        <vt:i4>333</vt:i4>
      </vt:variant>
      <vt:variant>
        <vt:i4>0</vt:i4>
      </vt:variant>
      <vt:variant>
        <vt:i4>5</vt:i4>
      </vt:variant>
      <vt:variant>
        <vt:lpwstr/>
      </vt:variant>
      <vt:variant>
        <vt:lpwstr>BM16</vt:lpwstr>
      </vt:variant>
      <vt:variant>
        <vt:i4>5767251</vt:i4>
      </vt:variant>
      <vt:variant>
        <vt:i4>330</vt:i4>
      </vt:variant>
      <vt:variant>
        <vt:i4>0</vt:i4>
      </vt:variant>
      <vt:variant>
        <vt:i4>5</vt:i4>
      </vt:variant>
      <vt:variant>
        <vt:lpwstr/>
      </vt:variant>
      <vt:variant>
        <vt:lpwstr>BM15</vt:lpwstr>
      </vt:variant>
      <vt:variant>
        <vt:i4>5832787</vt:i4>
      </vt:variant>
      <vt:variant>
        <vt:i4>327</vt:i4>
      </vt:variant>
      <vt:variant>
        <vt:i4>0</vt:i4>
      </vt:variant>
      <vt:variant>
        <vt:i4>5</vt:i4>
      </vt:variant>
      <vt:variant>
        <vt:lpwstr/>
      </vt:variant>
      <vt:variant>
        <vt:lpwstr>BM14</vt:lpwstr>
      </vt:variant>
      <vt:variant>
        <vt:i4>6160467</vt:i4>
      </vt:variant>
      <vt:variant>
        <vt:i4>324</vt:i4>
      </vt:variant>
      <vt:variant>
        <vt:i4>0</vt:i4>
      </vt:variant>
      <vt:variant>
        <vt:i4>5</vt:i4>
      </vt:variant>
      <vt:variant>
        <vt:lpwstr/>
      </vt:variant>
      <vt:variant>
        <vt:lpwstr>BM13</vt:lpwstr>
      </vt:variant>
      <vt:variant>
        <vt:i4>6226003</vt:i4>
      </vt:variant>
      <vt:variant>
        <vt:i4>321</vt:i4>
      </vt:variant>
      <vt:variant>
        <vt:i4>0</vt:i4>
      </vt:variant>
      <vt:variant>
        <vt:i4>5</vt:i4>
      </vt:variant>
      <vt:variant>
        <vt:lpwstr/>
      </vt:variant>
      <vt:variant>
        <vt:lpwstr>BM12</vt:lpwstr>
      </vt:variant>
      <vt:variant>
        <vt:i4>6029395</vt:i4>
      </vt:variant>
      <vt:variant>
        <vt:i4>318</vt:i4>
      </vt:variant>
      <vt:variant>
        <vt:i4>0</vt:i4>
      </vt:variant>
      <vt:variant>
        <vt:i4>5</vt:i4>
      </vt:variant>
      <vt:variant>
        <vt:lpwstr/>
      </vt:variant>
      <vt:variant>
        <vt:lpwstr>BM11</vt:lpwstr>
      </vt:variant>
      <vt:variant>
        <vt:i4>1900607</vt:i4>
      </vt:variant>
      <vt:variant>
        <vt:i4>311</vt:i4>
      </vt:variant>
      <vt:variant>
        <vt:i4>0</vt:i4>
      </vt:variant>
      <vt:variant>
        <vt:i4>5</vt:i4>
      </vt:variant>
      <vt:variant>
        <vt:lpwstr/>
      </vt:variant>
      <vt:variant>
        <vt:lpwstr>_Toc378239761</vt:lpwstr>
      </vt:variant>
      <vt:variant>
        <vt:i4>1900607</vt:i4>
      </vt:variant>
      <vt:variant>
        <vt:i4>305</vt:i4>
      </vt:variant>
      <vt:variant>
        <vt:i4>0</vt:i4>
      </vt:variant>
      <vt:variant>
        <vt:i4>5</vt:i4>
      </vt:variant>
      <vt:variant>
        <vt:lpwstr/>
      </vt:variant>
      <vt:variant>
        <vt:lpwstr>_Toc378239760</vt:lpwstr>
      </vt:variant>
      <vt:variant>
        <vt:i4>1966143</vt:i4>
      </vt:variant>
      <vt:variant>
        <vt:i4>299</vt:i4>
      </vt:variant>
      <vt:variant>
        <vt:i4>0</vt:i4>
      </vt:variant>
      <vt:variant>
        <vt:i4>5</vt:i4>
      </vt:variant>
      <vt:variant>
        <vt:lpwstr/>
      </vt:variant>
      <vt:variant>
        <vt:lpwstr>_Toc378239759</vt:lpwstr>
      </vt:variant>
      <vt:variant>
        <vt:i4>1966143</vt:i4>
      </vt:variant>
      <vt:variant>
        <vt:i4>293</vt:i4>
      </vt:variant>
      <vt:variant>
        <vt:i4>0</vt:i4>
      </vt:variant>
      <vt:variant>
        <vt:i4>5</vt:i4>
      </vt:variant>
      <vt:variant>
        <vt:lpwstr/>
      </vt:variant>
      <vt:variant>
        <vt:lpwstr>_Toc378239758</vt:lpwstr>
      </vt:variant>
      <vt:variant>
        <vt:i4>1966143</vt:i4>
      </vt:variant>
      <vt:variant>
        <vt:i4>287</vt:i4>
      </vt:variant>
      <vt:variant>
        <vt:i4>0</vt:i4>
      </vt:variant>
      <vt:variant>
        <vt:i4>5</vt:i4>
      </vt:variant>
      <vt:variant>
        <vt:lpwstr/>
      </vt:variant>
      <vt:variant>
        <vt:lpwstr>_Toc378239757</vt:lpwstr>
      </vt:variant>
      <vt:variant>
        <vt:i4>1966143</vt:i4>
      </vt:variant>
      <vt:variant>
        <vt:i4>281</vt:i4>
      </vt:variant>
      <vt:variant>
        <vt:i4>0</vt:i4>
      </vt:variant>
      <vt:variant>
        <vt:i4>5</vt:i4>
      </vt:variant>
      <vt:variant>
        <vt:lpwstr/>
      </vt:variant>
      <vt:variant>
        <vt:lpwstr>_Toc378239756</vt:lpwstr>
      </vt:variant>
      <vt:variant>
        <vt:i4>1966143</vt:i4>
      </vt:variant>
      <vt:variant>
        <vt:i4>275</vt:i4>
      </vt:variant>
      <vt:variant>
        <vt:i4>0</vt:i4>
      </vt:variant>
      <vt:variant>
        <vt:i4>5</vt:i4>
      </vt:variant>
      <vt:variant>
        <vt:lpwstr/>
      </vt:variant>
      <vt:variant>
        <vt:lpwstr>_Toc378239755</vt:lpwstr>
      </vt:variant>
      <vt:variant>
        <vt:i4>1966143</vt:i4>
      </vt:variant>
      <vt:variant>
        <vt:i4>269</vt:i4>
      </vt:variant>
      <vt:variant>
        <vt:i4>0</vt:i4>
      </vt:variant>
      <vt:variant>
        <vt:i4>5</vt:i4>
      </vt:variant>
      <vt:variant>
        <vt:lpwstr/>
      </vt:variant>
      <vt:variant>
        <vt:lpwstr>_Toc378239754</vt:lpwstr>
      </vt:variant>
      <vt:variant>
        <vt:i4>1966143</vt:i4>
      </vt:variant>
      <vt:variant>
        <vt:i4>263</vt:i4>
      </vt:variant>
      <vt:variant>
        <vt:i4>0</vt:i4>
      </vt:variant>
      <vt:variant>
        <vt:i4>5</vt:i4>
      </vt:variant>
      <vt:variant>
        <vt:lpwstr/>
      </vt:variant>
      <vt:variant>
        <vt:lpwstr>_Toc378239753</vt:lpwstr>
      </vt:variant>
      <vt:variant>
        <vt:i4>1966143</vt:i4>
      </vt:variant>
      <vt:variant>
        <vt:i4>257</vt:i4>
      </vt:variant>
      <vt:variant>
        <vt:i4>0</vt:i4>
      </vt:variant>
      <vt:variant>
        <vt:i4>5</vt:i4>
      </vt:variant>
      <vt:variant>
        <vt:lpwstr/>
      </vt:variant>
      <vt:variant>
        <vt:lpwstr>_Toc378239752</vt:lpwstr>
      </vt:variant>
      <vt:variant>
        <vt:i4>1966143</vt:i4>
      </vt:variant>
      <vt:variant>
        <vt:i4>251</vt:i4>
      </vt:variant>
      <vt:variant>
        <vt:i4>0</vt:i4>
      </vt:variant>
      <vt:variant>
        <vt:i4>5</vt:i4>
      </vt:variant>
      <vt:variant>
        <vt:lpwstr/>
      </vt:variant>
      <vt:variant>
        <vt:lpwstr>_Toc378239751</vt:lpwstr>
      </vt:variant>
      <vt:variant>
        <vt:i4>1966143</vt:i4>
      </vt:variant>
      <vt:variant>
        <vt:i4>245</vt:i4>
      </vt:variant>
      <vt:variant>
        <vt:i4>0</vt:i4>
      </vt:variant>
      <vt:variant>
        <vt:i4>5</vt:i4>
      </vt:variant>
      <vt:variant>
        <vt:lpwstr/>
      </vt:variant>
      <vt:variant>
        <vt:lpwstr>_Toc378239750</vt:lpwstr>
      </vt:variant>
      <vt:variant>
        <vt:i4>2031679</vt:i4>
      </vt:variant>
      <vt:variant>
        <vt:i4>239</vt:i4>
      </vt:variant>
      <vt:variant>
        <vt:i4>0</vt:i4>
      </vt:variant>
      <vt:variant>
        <vt:i4>5</vt:i4>
      </vt:variant>
      <vt:variant>
        <vt:lpwstr/>
      </vt:variant>
      <vt:variant>
        <vt:lpwstr>_Toc378239749</vt:lpwstr>
      </vt:variant>
      <vt:variant>
        <vt:i4>2031679</vt:i4>
      </vt:variant>
      <vt:variant>
        <vt:i4>233</vt:i4>
      </vt:variant>
      <vt:variant>
        <vt:i4>0</vt:i4>
      </vt:variant>
      <vt:variant>
        <vt:i4>5</vt:i4>
      </vt:variant>
      <vt:variant>
        <vt:lpwstr/>
      </vt:variant>
      <vt:variant>
        <vt:lpwstr>_Toc378239748</vt:lpwstr>
      </vt:variant>
      <vt:variant>
        <vt:i4>2031679</vt:i4>
      </vt:variant>
      <vt:variant>
        <vt:i4>227</vt:i4>
      </vt:variant>
      <vt:variant>
        <vt:i4>0</vt:i4>
      </vt:variant>
      <vt:variant>
        <vt:i4>5</vt:i4>
      </vt:variant>
      <vt:variant>
        <vt:lpwstr/>
      </vt:variant>
      <vt:variant>
        <vt:lpwstr>_Toc378239747</vt:lpwstr>
      </vt:variant>
      <vt:variant>
        <vt:i4>2031679</vt:i4>
      </vt:variant>
      <vt:variant>
        <vt:i4>221</vt:i4>
      </vt:variant>
      <vt:variant>
        <vt:i4>0</vt:i4>
      </vt:variant>
      <vt:variant>
        <vt:i4>5</vt:i4>
      </vt:variant>
      <vt:variant>
        <vt:lpwstr/>
      </vt:variant>
      <vt:variant>
        <vt:lpwstr>_Toc378239746</vt:lpwstr>
      </vt:variant>
      <vt:variant>
        <vt:i4>2031679</vt:i4>
      </vt:variant>
      <vt:variant>
        <vt:i4>215</vt:i4>
      </vt:variant>
      <vt:variant>
        <vt:i4>0</vt:i4>
      </vt:variant>
      <vt:variant>
        <vt:i4>5</vt:i4>
      </vt:variant>
      <vt:variant>
        <vt:lpwstr/>
      </vt:variant>
      <vt:variant>
        <vt:lpwstr>_Toc378239745</vt:lpwstr>
      </vt:variant>
      <vt:variant>
        <vt:i4>2031679</vt:i4>
      </vt:variant>
      <vt:variant>
        <vt:i4>209</vt:i4>
      </vt:variant>
      <vt:variant>
        <vt:i4>0</vt:i4>
      </vt:variant>
      <vt:variant>
        <vt:i4>5</vt:i4>
      </vt:variant>
      <vt:variant>
        <vt:lpwstr/>
      </vt:variant>
      <vt:variant>
        <vt:lpwstr>_Toc378239744</vt:lpwstr>
      </vt:variant>
      <vt:variant>
        <vt:i4>2031679</vt:i4>
      </vt:variant>
      <vt:variant>
        <vt:i4>203</vt:i4>
      </vt:variant>
      <vt:variant>
        <vt:i4>0</vt:i4>
      </vt:variant>
      <vt:variant>
        <vt:i4>5</vt:i4>
      </vt:variant>
      <vt:variant>
        <vt:lpwstr/>
      </vt:variant>
      <vt:variant>
        <vt:lpwstr>_Toc378239743</vt:lpwstr>
      </vt:variant>
      <vt:variant>
        <vt:i4>2031679</vt:i4>
      </vt:variant>
      <vt:variant>
        <vt:i4>197</vt:i4>
      </vt:variant>
      <vt:variant>
        <vt:i4>0</vt:i4>
      </vt:variant>
      <vt:variant>
        <vt:i4>5</vt:i4>
      </vt:variant>
      <vt:variant>
        <vt:lpwstr/>
      </vt:variant>
      <vt:variant>
        <vt:lpwstr>_Toc378239742</vt:lpwstr>
      </vt:variant>
      <vt:variant>
        <vt:i4>2031679</vt:i4>
      </vt:variant>
      <vt:variant>
        <vt:i4>191</vt:i4>
      </vt:variant>
      <vt:variant>
        <vt:i4>0</vt:i4>
      </vt:variant>
      <vt:variant>
        <vt:i4>5</vt:i4>
      </vt:variant>
      <vt:variant>
        <vt:lpwstr/>
      </vt:variant>
      <vt:variant>
        <vt:lpwstr>_Toc378239741</vt:lpwstr>
      </vt:variant>
      <vt:variant>
        <vt:i4>2031679</vt:i4>
      </vt:variant>
      <vt:variant>
        <vt:i4>185</vt:i4>
      </vt:variant>
      <vt:variant>
        <vt:i4>0</vt:i4>
      </vt:variant>
      <vt:variant>
        <vt:i4>5</vt:i4>
      </vt:variant>
      <vt:variant>
        <vt:lpwstr/>
      </vt:variant>
      <vt:variant>
        <vt:lpwstr>_Toc378239740</vt:lpwstr>
      </vt:variant>
      <vt:variant>
        <vt:i4>1572927</vt:i4>
      </vt:variant>
      <vt:variant>
        <vt:i4>179</vt:i4>
      </vt:variant>
      <vt:variant>
        <vt:i4>0</vt:i4>
      </vt:variant>
      <vt:variant>
        <vt:i4>5</vt:i4>
      </vt:variant>
      <vt:variant>
        <vt:lpwstr/>
      </vt:variant>
      <vt:variant>
        <vt:lpwstr>_Toc378239739</vt:lpwstr>
      </vt:variant>
      <vt:variant>
        <vt:i4>1572927</vt:i4>
      </vt:variant>
      <vt:variant>
        <vt:i4>173</vt:i4>
      </vt:variant>
      <vt:variant>
        <vt:i4>0</vt:i4>
      </vt:variant>
      <vt:variant>
        <vt:i4>5</vt:i4>
      </vt:variant>
      <vt:variant>
        <vt:lpwstr/>
      </vt:variant>
      <vt:variant>
        <vt:lpwstr>_Toc378239738</vt:lpwstr>
      </vt:variant>
      <vt:variant>
        <vt:i4>1572927</vt:i4>
      </vt:variant>
      <vt:variant>
        <vt:i4>167</vt:i4>
      </vt:variant>
      <vt:variant>
        <vt:i4>0</vt:i4>
      </vt:variant>
      <vt:variant>
        <vt:i4>5</vt:i4>
      </vt:variant>
      <vt:variant>
        <vt:lpwstr/>
      </vt:variant>
      <vt:variant>
        <vt:lpwstr>_Toc378239737</vt:lpwstr>
      </vt:variant>
      <vt:variant>
        <vt:i4>1572927</vt:i4>
      </vt:variant>
      <vt:variant>
        <vt:i4>161</vt:i4>
      </vt:variant>
      <vt:variant>
        <vt:i4>0</vt:i4>
      </vt:variant>
      <vt:variant>
        <vt:i4>5</vt:i4>
      </vt:variant>
      <vt:variant>
        <vt:lpwstr/>
      </vt:variant>
      <vt:variant>
        <vt:lpwstr>_Toc378239736</vt:lpwstr>
      </vt:variant>
      <vt:variant>
        <vt:i4>1572927</vt:i4>
      </vt:variant>
      <vt:variant>
        <vt:i4>155</vt:i4>
      </vt:variant>
      <vt:variant>
        <vt:i4>0</vt:i4>
      </vt:variant>
      <vt:variant>
        <vt:i4>5</vt:i4>
      </vt:variant>
      <vt:variant>
        <vt:lpwstr/>
      </vt:variant>
      <vt:variant>
        <vt:lpwstr>_Toc378239735</vt:lpwstr>
      </vt:variant>
      <vt:variant>
        <vt:i4>1572927</vt:i4>
      </vt:variant>
      <vt:variant>
        <vt:i4>149</vt:i4>
      </vt:variant>
      <vt:variant>
        <vt:i4>0</vt:i4>
      </vt:variant>
      <vt:variant>
        <vt:i4>5</vt:i4>
      </vt:variant>
      <vt:variant>
        <vt:lpwstr/>
      </vt:variant>
      <vt:variant>
        <vt:lpwstr>_Toc378239734</vt:lpwstr>
      </vt:variant>
      <vt:variant>
        <vt:i4>1572927</vt:i4>
      </vt:variant>
      <vt:variant>
        <vt:i4>143</vt:i4>
      </vt:variant>
      <vt:variant>
        <vt:i4>0</vt:i4>
      </vt:variant>
      <vt:variant>
        <vt:i4>5</vt:i4>
      </vt:variant>
      <vt:variant>
        <vt:lpwstr/>
      </vt:variant>
      <vt:variant>
        <vt:lpwstr>_Toc378239733</vt:lpwstr>
      </vt:variant>
      <vt:variant>
        <vt:i4>1572927</vt:i4>
      </vt:variant>
      <vt:variant>
        <vt:i4>137</vt:i4>
      </vt:variant>
      <vt:variant>
        <vt:i4>0</vt:i4>
      </vt:variant>
      <vt:variant>
        <vt:i4>5</vt:i4>
      </vt:variant>
      <vt:variant>
        <vt:lpwstr/>
      </vt:variant>
      <vt:variant>
        <vt:lpwstr>_Toc378239732</vt:lpwstr>
      </vt:variant>
      <vt:variant>
        <vt:i4>1572927</vt:i4>
      </vt:variant>
      <vt:variant>
        <vt:i4>131</vt:i4>
      </vt:variant>
      <vt:variant>
        <vt:i4>0</vt:i4>
      </vt:variant>
      <vt:variant>
        <vt:i4>5</vt:i4>
      </vt:variant>
      <vt:variant>
        <vt:lpwstr/>
      </vt:variant>
      <vt:variant>
        <vt:lpwstr>_Toc378239731</vt:lpwstr>
      </vt:variant>
      <vt:variant>
        <vt:i4>1572927</vt:i4>
      </vt:variant>
      <vt:variant>
        <vt:i4>125</vt:i4>
      </vt:variant>
      <vt:variant>
        <vt:i4>0</vt:i4>
      </vt:variant>
      <vt:variant>
        <vt:i4>5</vt:i4>
      </vt:variant>
      <vt:variant>
        <vt:lpwstr/>
      </vt:variant>
      <vt:variant>
        <vt:lpwstr>_Toc378239730</vt:lpwstr>
      </vt:variant>
      <vt:variant>
        <vt:i4>1638463</vt:i4>
      </vt:variant>
      <vt:variant>
        <vt:i4>119</vt:i4>
      </vt:variant>
      <vt:variant>
        <vt:i4>0</vt:i4>
      </vt:variant>
      <vt:variant>
        <vt:i4>5</vt:i4>
      </vt:variant>
      <vt:variant>
        <vt:lpwstr/>
      </vt:variant>
      <vt:variant>
        <vt:lpwstr>_Toc378239729</vt:lpwstr>
      </vt:variant>
      <vt:variant>
        <vt:i4>1638463</vt:i4>
      </vt:variant>
      <vt:variant>
        <vt:i4>113</vt:i4>
      </vt:variant>
      <vt:variant>
        <vt:i4>0</vt:i4>
      </vt:variant>
      <vt:variant>
        <vt:i4>5</vt:i4>
      </vt:variant>
      <vt:variant>
        <vt:lpwstr/>
      </vt:variant>
      <vt:variant>
        <vt:lpwstr>_Toc378239728</vt:lpwstr>
      </vt:variant>
      <vt:variant>
        <vt:i4>1638463</vt:i4>
      </vt:variant>
      <vt:variant>
        <vt:i4>107</vt:i4>
      </vt:variant>
      <vt:variant>
        <vt:i4>0</vt:i4>
      </vt:variant>
      <vt:variant>
        <vt:i4>5</vt:i4>
      </vt:variant>
      <vt:variant>
        <vt:lpwstr/>
      </vt:variant>
      <vt:variant>
        <vt:lpwstr>_Toc378239727</vt:lpwstr>
      </vt:variant>
      <vt:variant>
        <vt:i4>1638463</vt:i4>
      </vt:variant>
      <vt:variant>
        <vt:i4>101</vt:i4>
      </vt:variant>
      <vt:variant>
        <vt:i4>0</vt:i4>
      </vt:variant>
      <vt:variant>
        <vt:i4>5</vt:i4>
      </vt:variant>
      <vt:variant>
        <vt:lpwstr/>
      </vt:variant>
      <vt:variant>
        <vt:lpwstr>_Toc378239726</vt:lpwstr>
      </vt:variant>
      <vt:variant>
        <vt:i4>1638463</vt:i4>
      </vt:variant>
      <vt:variant>
        <vt:i4>95</vt:i4>
      </vt:variant>
      <vt:variant>
        <vt:i4>0</vt:i4>
      </vt:variant>
      <vt:variant>
        <vt:i4>5</vt:i4>
      </vt:variant>
      <vt:variant>
        <vt:lpwstr/>
      </vt:variant>
      <vt:variant>
        <vt:lpwstr>_Toc378239725</vt:lpwstr>
      </vt:variant>
      <vt:variant>
        <vt:i4>1638463</vt:i4>
      </vt:variant>
      <vt:variant>
        <vt:i4>89</vt:i4>
      </vt:variant>
      <vt:variant>
        <vt:i4>0</vt:i4>
      </vt:variant>
      <vt:variant>
        <vt:i4>5</vt:i4>
      </vt:variant>
      <vt:variant>
        <vt:lpwstr/>
      </vt:variant>
      <vt:variant>
        <vt:lpwstr>_Toc378239724</vt:lpwstr>
      </vt:variant>
      <vt:variant>
        <vt:i4>1638463</vt:i4>
      </vt:variant>
      <vt:variant>
        <vt:i4>83</vt:i4>
      </vt:variant>
      <vt:variant>
        <vt:i4>0</vt:i4>
      </vt:variant>
      <vt:variant>
        <vt:i4>5</vt:i4>
      </vt:variant>
      <vt:variant>
        <vt:lpwstr/>
      </vt:variant>
      <vt:variant>
        <vt:lpwstr>_Toc378239723</vt:lpwstr>
      </vt:variant>
      <vt:variant>
        <vt:i4>1638463</vt:i4>
      </vt:variant>
      <vt:variant>
        <vt:i4>77</vt:i4>
      </vt:variant>
      <vt:variant>
        <vt:i4>0</vt:i4>
      </vt:variant>
      <vt:variant>
        <vt:i4>5</vt:i4>
      </vt:variant>
      <vt:variant>
        <vt:lpwstr/>
      </vt:variant>
      <vt:variant>
        <vt:lpwstr>_Toc378239722</vt:lpwstr>
      </vt:variant>
      <vt:variant>
        <vt:i4>1638463</vt:i4>
      </vt:variant>
      <vt:variant>
        <vt:i4>71</vt:i4>
      </vt:variant>
      <vt:variant>
        <vt:i4>0</vt:i4>
      </vt:variant>
      <vt:variant>
        <vt:i4>5</vt:i4>
      </vt:variant>
      <vt:variant>
        <vt:lpwstr/>
      </vt:variant>
      <vt:variant>
        <vt:lpwstr>_Toc378239721</vt:lpwstr>
      </vt:variant>
      <vt:variant>
        <vt:i4>1638463</vt:i4>
      </vt:variant>
      <vt:variant>
        <vt:i4>65</vt:i4>
      </vt:variant>
      <vt:variant>
        <vt:i4>0</vt:i4>
      </vt:variant>
      <vt:variant>
        <vt:i4>5</vt:i4>
      </vt:variant>
      <vt:variant>
        <vt:lpwstr/>
      </vt:variant>
      <vt:variant>
        <vt:lpwstr>_Toc378239720</vt:lpwstr>
      </vt:variant>
      <vt:variant>
        <vt:i4>1703999</vt:i4>
      </vt:variant>
      <vt:variant>
        <vt:i4>59</vt:i4>
      </vt:variant>
      <vt:variant>
        <vt:i4>0</vt:i4>
      </vt:variant>
      <vt:variant>
        <vt:i4>5</vt:i4>
      </vt:variant>
      <vt:variant>
        <vt:lpwstr/>
      </vt:variant>
      <vt:variant>
        <vt:lpwstr>_Toc378239719</vt:lpwstr>
      </vt:variant>
      <vt:variant>
        <vt:i4>1703999</vt:i4>
      </vt:variant>
      <vt:variant>
        <vt:i4>53</vt:i4>
      </vt:variant>
      <vt:variant>
        <vt:i4>0</vt:i4>
      </vt:variant>
      <vt:variant>
        <vt:i4>5</vt:i4>
      </vt:variant>
      <vt:variant>
        <vt:lpwstr/>
      </vt:variant>
      <vt:variant>
        <vt:lpwstr>_Toc378239718</vt:lpwstr>
      </vt:variant>
      <vt:variant>
        <vt:i4>1703999</vt:i4>
      </vt:variant>
      <vt:variant>
        <vt:i4>47</vt:i4>
      </vt:variant>
      <vt:variant>
        <vt:i4>0</vt:i4>
      </vt:variant>
      <vt:variant>
        <vt:i4>5</vt:i4>
      </vt:variant>
      <vt:variant>
        <vt:lpwstr/>
      </vt:variant>
      <vt:variant>
        <vt:lpwstr>_Toc378239717</vt:lpwstr>
      </vt:variant>
      <vt:variant>
        <vt:i4>1703999</vt:i4>
      </vt:variant>
      <vt:variant>
        <vt:i4>41</vt:i4>
      </vt:variant>
      <vt:variant>
        <vt:i4>0</vt:i4>
      </vt:variant>
      <vt:variant>
        <vt:i4>5</vt:i4>
      </vt:variant>
      <vt:variant>
        <vt:lpwstr/>
      </vt:variant>
      <vt:variant>
        <vt:lpwstr>_Toc378239716</vt:lpwstr>
      </vt:variant>
      <vt:variant>
        <vt:i4>1703999</vt:i4>
      </vt:variant>
      <vt:variant>
        <vt:i4>35</vt:i4>
      </vt:variant>
      <vt:variant>
        <vt:i4>0</vt:i4>
      </vt:variant>
      <vt:variant>
        <vt:i4>5</vt:i4>
      </vt:variant>
      <vt:variant>
        <vt:lpwstr/>
      </vt:variant>
      <vt:variant>
        <vt:lpwstr>_Toc378239715</vt:lpwstr>
      </vt:variant>
      <vt:variant>
        <vt:i4>1703999</vt:i4>
      </vt:variant>
      <vt:variant>
        <vt:i4>29</vt:i4>
      </vt:variant>
      <vt:variant>
        <vt:i4>0</vt:i4>
      </vt:variant>
      <vt:variant>
        <vt:i4>5</vt:i4>
      </vt:variant>
      <vt:variant>
        <vt:lpwstr/>
      </vt:variant>
      <vt:variant>
        <vt:lpwstr>_Toc378239714</vt:lpwstr>
      </vt:variant>
      <vt:variant>
        <vt:i4>1703999</vt:i4>
      </vt:variant>
      <vt:variant>
        <vt:i4>23</vt:i4>
      </vt:variant>
      <vt:variant>
        <vt:i4>0</vt:i4>
      </vt:variant>
      <vt:variant>
        <vt:i4>5</vt:i4>
      </vt:variant>
      <vt:variant>
        <vt:lpwstr/>
      </vt:variant>
      <vt:variant>
        <vt:lpwstr>_Toc378239713</vt:lpwstr>
      </vt:variant>
      <vt:variant>
        <vt:i4>1703999</vt:i4>
      </vt:variant>
      <vt:variant>
        <vt:i4>17</vt:i4>
      </vt:variant>
      <vt:variant>
        <vt:i4>0</vt:i4>
      </vt:variant>
      <vt:variant>
        <vt:i4>5</vt:i4>
      </vt:variant>
      <vt:variant>
        <vt:lpwstr/>
      </vt:variant>
      <vt:variant>
        <vt:lpwstr>_Toc378239712</vt:lpwstr>
      </vt:variant>
      <vt:variant>
        <vt:i4>1703999</vt:i4>
      </vt:variant>
      <vt:variant>
        <vt:i4>11</vt:i4>
      </vt:variant>
      <vt:variant>
        <vt:i4>0</vt:i4>
      </vt:variant>
      <vt:variant>
        <vt:i4>5</vt:i4>
      </vt:variant>
      <vt:variant>
        <vt:lpwstr/>
      </vt:variant>
      <vt:variant>
        <vt:lpwstr>_Toc378239711</vt:lpwstr>
      </vt:variant>
      <vt:variant>
        <vt:i4>1703999</vt:i4>
      </vt:variant>
      <vt:variant>
        <vt:i4>5</vt:i4>
      </vt:variant>
      <vt:variant>
        <vt:i4>0</vt:i4>
      </vt:variant>
      <vt:variant>
        <vt:i4>5</vt:i4>
      </vt:variant>
      <vt:variant>
        <vt:lpwstr/>
      </vt:variant>
      <vt:variant>
        <vt:lpwstr>_Toc378239710</vt:lpwstr>
      </vt:variant>
      <vt:variant>
        <vt:i4>852029</vt:i4>
      </vt:variant>
      <vt:variant>
        <vt:i4>0</vt:i4>
      </vt:variant>
      <vt:variant>
        <vt:i4>0</vt:i4>
      </vt:variant>
      <vt:variant>
        <vt:i4>5</vt:i4>
      </vt:variant>
      <vt:variant>
        <vt:lpwstr>mailto:tony.greco@publicaccountants.org.au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marketing.coord</dc:creator>
  <cp:lastModifiedBy>vicki.stylianou</cp:lastModifiedBy>
  <cp:revision>4</cp:revision>
  <cp:lastPrinted>2014-09-03T08:12:00Z</cp:lastPrinted>
  <dcterms:created xsi:type="dcterms:W3CDTF">2014-09-04T11:25:00Z</dcterms:created>
  <dcterms:modified xsi:type="dcterms:W3CDTF">2014-09-05T01:38:00Z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0x01010027F34FB163ABCE47A29E3253669CD8B1</vt:lpwstr>
  </property>
</Properties>
</file>