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5FA41" w14:textId="77777777" w:rsidR="00D72BEA" w:rsidRPr="009A58E7" w:rsidRDefault="00355F3E" w:rsidP="002861E4">
      <w:pPr>
        <w:rPr>
          <w:rFonts w:ascii="Arial Narrow" w:hAnsi="Arial Narrow"/>
          <w:noProof/>
          <w:color w:val="484E41"/>
        </w:rPr>
      </w:pPr>
      <w:r>
        <w:rPr>
          <w:noProof/>
          <w:color w:val="484E41"/>
        </w:rPr>
        <w:drawing>
          <wp:anchor distT="0" distB="0" distL="114300" distR="114300" simplePos="0" relativeHeight="251657728" behindDoc="1" locked="0" layoutInCell="1" allowOverlap="1" wp14:anchorId="7E3C233F" wp14:editId="0912A315">
            <wp:simplePos x="0" y="0"/>
            <wp:positionH relativeFrom="column">
              <wp:posOffset>-1112520</wp:posOffset>
            </wp:positionH>
            <wp:positionV relativeFrom="paragraph">
              <wp:posOffset>-2388235</wp:posOffset>
            </wp:positionV>
            <wp:extent cx="7757160" cy="10751820"/>
            <wp:effectExtent l="0" t="0" r="0" b="0"/>
            <wp:wrapNone/>
            <wp:docPr id="4" name="Picture 9" descr="NO099_Submission 01B front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099_Submission 01B front v2"/>
                    <pic:cNvPicPr>
                      <a:picLocks noChangeAspect="1" noChangeArrowheads="1"/>
                    </pic:cNvPicPr>
                  </pic:nvPicPr>
                  <pic:blipFill>
                    <a:blip r:embed="rId11" cstate="print"/>
                    <a:srcRect/>
                    <a:stretch>
                      <a:fillRect/>
                    </a:stretch>
                  </pic:blipFill>
                  <pic:spPr bwMode="auto">
                    <a:xfrm>
                      <a:off x="0" y="0"/>
                      <a:ext cx="7757160" cy="10751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3E8A92" w14:textId="77777777" w:rsidR="00D72BEA" w:rsidRPr="009A58E7" w:rsidRDefault="00D72BEA" w:rsidP="002861E4">
      <w:pPr>
        <w:rPr>
          <w:rFonts w:ascii="Arial Narrow" w:hAnsi="Arial Narrow"/>
          <w:color w:val="484E41"/>
        </w:rPr>
      </w:pPr>
    </w:p>
    <w:p w14:paraId="7456DFB9" w14:textId="77777777" w:rsidR="00D72BEA" w:rsidRPr="009A58E7" w:rsidRDefault="00D72BEA" w:rsidP="002861E4">
      <w:pPr>
        <w:rPr>
          <w:rFonts w:ascii="Arial Narrow" w:hAnsi="Arial Narrow"/>
          <w:color w:val="484E41"/>
        </w:rPr>
        <w:sectPr w:rsidR="00D72BEA" w:rsidRPr="009A58E7" w:rsidSect="00D72BEA">
          <w:pgSz w:w="11899" w:h="16838"/>
          <w:pgMar w:top="1733" w:right="1440" w:bottom="2845" w:left="1440" w:header="1440" w:footer="2552" w:gutter="0"/>
          <w:cols w:space="720"/>
          <w:docGrid w:linePitch="360"/>
        </w:sectPr>
      </w:pPr>
    </w:p>
    <w:bookmarkStart w:id="0" w:name="_Toc314836482"/>
    <w:bookmarkStart w:id="1" w:name="_Toc314836662"/>
    <w:p w14:paraId="43D1B07F" w14:textId="77777777" w:rsidR="00D46E6B" w:rsidRDefault="007B4DC1">
      <w:pPr>
        <w:rPr>
          <w:rFonts w:ascii="Arial" w:hAnsi="Arial" w:cs="Arial"/>
          <w:b/>
          <w:bCs/>
          <w:color w:val="E06C08"/>
          <w:sz w:val="28"/>
          <w:szCs w:val="28"/>
          <w:lang w:val="en-GB"/>
        </w:rPr>
      </w:pPr>
      <w:r>
        <w:rPr>
          <w:noProof/>
          <w:color w:val="484E41"/>
        </w:rPr>
        <mc:AlternateContent>
          <mc:Choice Requires="wps">
            <w:drawing>
              <wp:anchor distT="0" distB="0" distL="114935" distR="114935" simplePos="0" relativeHeight="251656704" behindDoc="0" locked="0" layoutInCell="1" allowOverlap="1" wp14:anchorId="66CF6EE4" wp14:editId="3EDE11F8">
                <wp:simplePos x="0" y="0"/>
                <wp:positionH relativeFrom="column">
                  <wp:posOffset>100965</wp:posOffset>
                </wp:positionH>
                <wp:positionV relativeFrom="paragraph">
                  <wp:posOffset>4298315</wp:posOffset>
                </wp:positionV>
                <wp:extent cx="6229350" cy="18478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84785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399DB1" w14:textId="77777777" w:rsidR="008542A0" w:rsidRPr="00064398" w:rsidRDefault="008542A0" w:rsidP="00D72BEA">
                            <w:pPr>
                              <w:jc w:val="right"/>
                              <w:rPr>
                                <w:rFonts w:ascii="Arial" w:hAnsi="Arial"/>
                                <w:color w:val="484E41"/>
                              </w:rPr>
                            </w:pPr>
                            <w:r w:rsidRPr="00064398">
                              <w:rPr>
                                <w:rFonts w:ascii="Arial" w:hAnsi="Arial"/>
                                <w:color w:val="484E41"/>
                              </w:rPr>
                              <w:t>The Institute of Public Accountants</w:t>
                            </w:r>
                          </w:p>
                          <w:p w14:paraId="2C635DE7" w14:textId="77777777" w:rsidR="008542A0" w:rsidRPr="00C67223" w:rsidRDefault="008542A0" w:rsidP="00D72BEA">
                            <w:pPr>
                              <w:jc w:val="right"/>
                            </w:pPr>
                          </w:p>
                          <w:p w14:paraId="7B162F25" w14:textId="77777777" w:rsidR="008542A0" w:rsidRPr="004F7FB5" w:rsidRDefault="008542A0" w:rsidP="004F7FB5">
                            <w:pPr>
                              <w:autoSpaceDE w:val="0"/>
                              <w:autoSpaceDN w:val="0"/>
                              <w:adjustRightInd w:val="0"/>
                              <w:rPr>
                                <w:rFonts w:ascii="Century Gothic" w:hAnsi="Century Gothic" w:cs="Century Gothic"/>
                                <w:color w:val="000000"/>
                              </w:rPr>
                            </w:pPr>
                          </w:p>
                          <w:p w14:paraId="1D1BA28B" w14:textId="3904D0FF" w:rsidR="008542A0" w:rsidRDefault="008542A0" w:rsidP="004F7FB5">
                            <w:pPr>
                              <w:jc w:val="right"/>
                              <w:rPr>
                                <w:rFonts w:ascii="Century Gothic" w:hAnsi="Century Gothic" w:cs="Century Gothic"/>
                                <w:b/>
                                <w:bCs/>
                                <w:color w:val="000000"/>
                                <w:sz w:val="44"/>
                                <w:szCs w:val="44"/>
                              </w:rPr>
                            </w:pPr>
                            <w:r w:rsidRPr="000D114C">
                              <w:rPr>
                                <w:rFonts w:ascii="Century Gothic" w:hAnsi="Century Gothic" w:cs="Century Gothic"/>
                                <w:color w:val="E36C0A" w:themeColor="accent6" w:themeShade="BF"/>
                              </w:rPr>
                              <w:t xml:space="preserve"> </w:t>
                            </w:r>
                            <w:r w:rsidR="00AA4986" w:rsidRPr="00AA4986">
                              <w:rPr>
                                <w:rFonts w:ascii="Century Gothic" w:hAnsi="Century Gothic" w:cs="Century Gothic"/>
                                <w:b/>
                                <w:bCs/>
                                <w:color w:val="E36C0A" w:themeColor="accent6" w:themeShade="BF"/>
                                <w:sz w:val="44"/>
                                <w:szCs w:val="44"/>
                              </w:rPr>
                              <w:t>Changing the Criteria of ‘Ineligible Activities’ in the Income Tax Assessment Act 1997</w:t>
                            </w:r>
                          </w:p>
                          <w:p w14:paraId="48376AF7" w14:textId="77777777" w:rsidR="008542A0" w:rsidRDefault="008542A0" w:rsidP="004F7FB5">
                            <w:pPr>
                              <w:jc w:val="right"/>
                              <w:rPr>
                                <w:rFonts w:ascii="Century Gothic" w:hAnsi="Century Gothic" w:cs="Century Gothic"/>
                                <w:b/>
                                <w:bCs/>
                                <w:color w:val="000000"/>
                                <w:sz w:val="44"/>
                                <w:szCs w:val="44"/>
                              </w:rPr>
                            </w:pPr>
                          </w:p>
                          <w:p w14:paraId="110F4F9D" w14:textId="77777777" w:rsidR="008542A0" w:rsidRDefault="008542A0" w:rsidP="004F7FB5">
                            <w:pPr>
                              <w:jc w:val="right"/>
                              <w:rPr>
                                <w:rFonts w:ascii="Arial Bold" w:hAnsi="Arial Bol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F6EE4" id="_x0000_t202" coordsize="21600,21600" o:spt="202" path="m,l,21600r21600,l21600,xe">
                <v:stroke joinstyle="miter"/>
                <v:path gradientshapeok="t" o:connecttype="rect"/>
              </v:shapetype>
              <v:shape id="Text Box 2" o:spid="_x0000_s1026" type="#_x0000_t202" style="position:absolute;margin-left:7.95pt;margin-top:338.45pt;width:490.5pt;height:145.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GBOAIAAEcEAAAOAAAAZHJzL2Uyb0RvYy54bWysU9tu2zAMfR+wfxD0nthx3TQO4hRNggwD&#10;ugvQ7gMUWb5gtqhJSuxs2L+PkuK0296G+cGgeDkkD8nV/dC15CS0aUDmdDaNKRGSQ9HIKqdfnveT&#10;BSXGMlmwFqTI6VkYer9++2bVq6VIoIa2EJogiDTLXuW0tlYto8jwWnTMTEEJicYSdMcsPnUVFZr1&#10;iN61URLH86gHXSgNXBiD2l0w0rXHL0vB7aeyNMKSNqdYm/V/7f8H94/WK7asNFN1wy9lsH+oomON&#10;xKRXqB2zjBx18xdU13ANBko75dBFUJYNF74H7GYW/9HNU82U8L0gOUZdaTL/D5Z/PH3WpClyekOJ&#10;ZB2O6FkMlmxgIIljp1dmiU5PCt3sgGqcsu/UqEfgXw2RsK2ZrMSD1tDXghVY3cxFRq9CA45xIIf+&#10;AxSYhh0teKCh1J2jDskgiI5TOl8n40rhqJwnSXZziyaOttkivVvgw+VgyzFcaWPfCeiIE3KqcfQe&#10;np0ejQ2uo4vLZqBtin3Ttv6hq8O21eTEcE32/guxrapZ0I7pTHD1qX/DaKVDkuAwQ7qgwRawAGdz&#10;zfid+JHNkjTeJNlkP1/cTdIyvZ1kd/FiEs+yTTaP0yzd7X9e+hvjPZ2OwcClHQ4DpnEcH6A4I7Ea&#10;wnbjNaJQg/5OSY+bnVPz7ci0oKR9L3E47gxGQY/CYRSY5BiaU0tJELc2nMtR6aaqETmMX8IDDrBs&#10;PLUvVVzGjtvqGbpcljuH12/v9XL/618AAAD//wMAUEsDBBQABgAIAAAAIQDItbk93AAAAAoBAAAP&#10;AAAAZHJzL2Rvd25yZXYueG1sTI/BTsMwEETvSPyDtUjcqNMikjqNU0ERXBEBqVc32cZR4nUUu234&#10;e7YnuM1oR7Nviu3sBnHGKXSeNCwXCQik2jcdtRq+v94e1iBCNNSYwRNq+MEA2/L2pjB54y/0iecq&#10;toJLKORGg41xzKUMtUVnwsKPSHw7+smZyHZqZTOZC5e7Qa6SJJXOdMQfrBlxZ7Huq5PT8Pixyvbh&#10;vXrdjXtU/Tq89EeyWt/fzc8bEBHn+BeGKz6jQ8lMB3+iJoiB/ZPipIY0S1lwQKmrOLBIMwWyLOT/&#10;CeUvAAAA//8DAFBLAQItABQABgAIAAAAIQC2gziS/gAAAOEBAAATAAAAAAAAAAAAAAAAAAAAAABb&#10;Q29udGVudF9UeXBlc10ueG1sUEsBAi0AFAAGAAgAAAAhADj9If/WAAAAlAEAAAsAAAAAAAAAAAAA&#10;AAAALwEAAF9yZWxzLy5yZWxzUEsBAi0AFAAGAAgAAAAhAG0tYYE4AgAARwQAAA4AAAAAAAAAAAAA&#10;AAAALgIAAGRycy9lMm9Eb2MueG1sUEsBAi0AFAAGAAgAAAAhAMi1uT3cAAAACgEAAA8AAAAAAAAA&#10;AAAAAAAAkgQAAGRycy9kb3ducmV2LnhtbFBLBQYAAAAABAAEAPMAAACbBQAAAAA=&#10;" stroked="f">
                <v:fill opacity="0"/>
                <v:textbox inset="0,0,0,0">
                  <w:txbxContent>
                    <w:p w14:paraId="3B399DB1" w14:textId="77777777" w:rsidR="008542A0" w:rsidRPr="00064398" w:rsidRDefault="008542A0" w:rsidP="00D72BEA">
                      <w:pPr>
                        <w:jc w:val="right"/>
                        <w:rPr>
                          <w:rFonts w:ascii="Arial" w:hAnsi="Arial"/>
                          <w:color w:val="484E41"/>
                        </w:rPr>
                      </w:pPr>
                      <w:r w:rsidRPr="00064398">
                        <w:rPr>
                          <w:rFonts w:ascii="Arial" w:hAnsi="Arial"/>
                          <w:color w:val="484E41"/>
                        </w:rPr>
                        <w:t>The Institute of Public Accountants</w:t>
                      </w:r>
                    </w:p>
                    <w:p w14:paraId="2C635DE7" w14:textId="77777777" w:rsidR="008542A0" w:rsidRPr="00C67223" w:rsidRDefault="008542A0" w:rsidP="00D72BEA">
                      <w:pPr>
                        <w:jc w:val="right"/>
                      </w:pPr>
                    </w:p>
                    <w:p w14:paraId="7B162F25" w14:textId="77777777" w:rsidR="008542A0" w:rsidRPr="004F7FB5" w:rsidRDefault="008542A0" w:rsidP="004F7FB5">
                      <w:pPr>
                        <w:autoSpaceDE w:val="0"/>
                        <w:autoSpaceDN w:val="0"/>
                        <w:adjustRightInd w:val="0"/>
                        <w:rPr>
                          <w:rFonts w:ascii="Century Gothic" w:hAnsi="Century Gothic" w:cs="Century Gothic"/>
                          <w:color w:val="000000"/>
                        </w:rPr>
                      </w:pPr>
                    </w:p>
                    <w:p w14:paraId="1D1BA28B" w14:textId="3904D0FF" w:rsidR="008542A0" w:rsidRDefault="008542A0" w:rsidP="004F7FB5">
                      <w:pPr>
                        <w:jc w:val="right"/>
                        <w:rPr>
                          <w:rFonts w:ascii="Century Gothic" w:hAnsi="Century Gothic" w:cs="Century Gothic"/>
                          <w:b/>
                          <w:bCs/>
                          <w:color w:val="000000"/>
                          <w:sz w:val="44"/>
                          <w:szCs w:val="44"/>
                        </w:rPr>
                      </w:pPr>
                      <w:r w:rsidRPr="000D114C">
                        <w:rPr>
                          <w:rFonts w:ascii="Century Gothic" w:hAnsi="Century Gothic" w:cs="Century Gothic"/>
                          <w:color w:val="E36C0A" w:themeColor="accent6" w:themeShade="BF"/>
                        </w:rPr>
                        <w:t xml:space="preserve"> </w:t>
                      </w:r>
                      <w:r w:rsidR="00AA4986" w:rsidRPr="00AA4986">
                        <w:rPr>
                          <w:rFonts w:ascii="Century Gothic" w:hAnsi="Century Gothic" w:cs="Century Gothic"/>
                          <w:b/>
                          <w:bCs/>
                          <w:color w:val="E36C0A" w:themeColor="accent6" w:themeShade="BF"/>
                          <w:sz w:val="44"/>
                          <w:szCs w:val="44"/>
                        </w:rPr>
                        <w:t>Changing the Criteria of ‘Ineligible Activities’ in the Income Tax Assessment Act 1997</w:t>
                      </w:r>
                    </w:p>
                    <w:p w14:paraId="48376AF7" w14:textId="77777777" w:rsidR="008542A0" w:rsidRDefault="008542A0" w:rsidP="004F7FB5">
                      <w:pPr>
                        <w:jc w:val="right"/>
                        <w:rPr>
                          <w:rFonts w:ascii="Century Gothic" w:hAnsi="Century Gothic" w:cs="Century Gothic"/>
                          <w:b/>
                          <w:bCs/>
                          <w:color w:val="000000"/>
                          <w:sz w:val="44"/>
                          <w:szCs w:val="44"/>
                        </w:rPr>
                      </w:pPr>
                    </w:p>
                    <w:p w14:paraId="110F4F9D" w14:textId="77777777" w:rsidR="008542A0" w:rsidRDefault="008542A0" w:rsidP="004F7FB5">
                      <w:pPr>
                        <w:jc w:val="right"/>
                        <w:rPr>
                          <w:rFonts w:ascii="Arial Bold" w:hAnsi="Arial Bold"/>
                        </w:rPr>
                      </w:pPr>
                    </w:p>
                  </w:txbxContent>
                </v:textbox>
              </v:shape>
            </w:pict>
          </mc:Fallback>
        </mc:AlternateContent>
      </w:r>
      <w:r w:rsidR="004F7FB5">
        <w:rPr>
          <w:noProof/>
          <w:color w:val="484E41"/>
        </w:rPr>
        <mc:AlternateContent>
          <mc:Choice Requires="wps">
            <w:drawing>
              <wp:anchor distT="0" distB="0" distL="114935" distR="114935" simplePos="0" relativeHeight="251660800" behindDoc="0" locked="0" layoutInCell="1" allowOverlap="1" wp14:anchorId="68643B92" wp14:editId="684E4021">
                <wp:simplePos x="0" y="0"/>
                <wp:positionH relativeFrom="column">
                  <wp:posOffset>1876425</wp:posOffset>
                </wp:positionH>
                <wp:positionV relativeFrom="paragraph">
                  <wp:posOffset>6271895</wp:posOffset>
                </wp:positionV>
                <wp:extent cx="4389120" cy="23393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33934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FB6E44" w14:textId="7222EE48" w:rsidR="008542A0" w:rsidRPr="00D84EE4" w:rsidRDefault="00AA4986" w:rsidP="004F7FB5">
                            <w:pPr>
                              <w:jc w:val="right"/>
                              <w:rPr>
                                <w:rFonts w:ascii="Century Gothic" w:hAnsi="Century Gothic" w:cs="Century Gothic"/>
                                <w:b/>
                                <w:bCs/>
                                <w:color w:val="000000"/>
                                <w:sz w:val="24"/>
                                <w:szCs w:val="24"/>
                              </w:rPr>
                            </w:pPr>
                            <w:r>
                              <w:rPr>
                                <w:rFonts w:ascii="Century Gothic" w:hAnsi="Century Gothic" w:cs="Century Gothic"/>
                                <w:color w:val="000000"/>
                                <w:sz w:val="24"/>
                                <w:szCs w:val="24"/>
                              </w:rPr>
                              <w:t>3 June 2016</w:t>
                            </w:r>
                          </w:p>
                          <w:p w14:paraId="24C1E160" w14:textId="77777777" w:rsidR="008542A0" w:rsidRDefault="008542A0" w:rsidP="004F7FB5">
                            <w:pPr>
                              <w:jc w:val="right"/>
                              <w:rPr>
                                <w:rFonts w:ascii="Century Gothic" w:hAnsi="Century Gothic" w:cs="Century Gothic"/>
                                <w:b/>
                                <w:bCs/>
                                <w:color w:val="000000"/>
                                <w:sz w:val="44"/>
                                <w:szCs w:val="44"/>
                              </w:rPr>
                            </w:pPr>
                          </w:p>
                          <w:p w14:paraId="3CEFDBF8" w14:textId="77777777" w:rsidR="008542A0" w:rsidRDefault="008542A0" w:rsidP="004F7FB5">
                            <w:pPr>
                              <w:jc w:val="right"/>
                              <w:rPr>
                                <w:rFonts w:ascii="Arial Bold" w:hAnsi="Arial Bol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43B92" id="_x0000_s1027" type="#_x0000_t202" style="position:absolute;margin-left:147.75pt;margin-top:493.85pt;width:345.6pt;height:184.2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XWVPgIAAE4EAAAOAAAAZHJzL2Uyb0RvYy54bWysVNtu2zAMfR+wfxD0nthxvCQ24hRNggwD&#10;ugvQ7gNkWb5gtqhJSuxs6L+PkpO0296G+UGgSPGQPCS9vhu6lpyENg3IjM6mISVCcigaWWX069Nh&#10;sqLEWCYL1oIUGT0LQ+82b9+se5WKCGpoC6EJgkiT9iqjtbUqDQLDa9ExMwUlJBpL0B2zeNVVUGjW&#10;I3rXBlEYLoIedKE0cGEMavejkW48flkKbj+XpRGWtBnF3Kw/tT9zdwabNUsrzVTd8Esa7B+y6Fgj&#10;MegNas8sI0fd/AXVNVyDgdJOOXQBlGXDha8Bq5mFf1TzWDMlfC1IjlE3msz/g+WfTl80aYqMLimR&#10;rMMWPYnBki0MJHLs9Mqk+OhR4TM7oBq77Cs16gH4N0Mk7GomK3GvNfS1YAVmN3OewSvXEcc4kLz/&#10;CAWGYUcLHmgodeeoQzIIomOXzrfOuFQ4KuP5KplFaOJoi+bzZB773gUsvborbex7AR1xQkY1tt7D&#10;s9ODsS4dll6fuGgG2qY4NG3rL7rKd60mJ4ZjcvDf6Nuqmo3aazgzPvV4v2G00iFJcJhjuFGDJWAC&#10;zuaK8TPxE2uJw22UTA6L1XISl/G7SbIMV5NwlmyTRRgn8f7w7Dn0Xt7f0+kYHLm0Qz74vnmuHdU5&#10;FGfkV8M45LiUKNSgf1DS44Bn1Hw/Mi0oaT9I7JHbhqugr0J+FZjk6JpRS8ko7uy4NUelm6pG5HEK&#10;JNxjH8vGM/ySxaX7OLSeqMuCua14ffevXn4Dm18AAAD//wMAUEsDBBQABgAIAAAAIQDd9Lc03wAA&#10;AAwBAAAPAAAAZHJzL2Rvd25yZXYueG1sTI9NT8MwDIbvSPyHyEjcWLpO/aTpBEPsiihIu2at11Zt&#10;nKrJtvLv8U5ws+VHr5+32C5mFBecXW9JwXoVgECqbdNTq+D76/0pBeG8pkaPllDBDzrYlvd3hc4b&#10;e6VPvFS+FRxCLtcKOu+nXEpXd2i0W9kJiW8nOxvteZ1b2cz6yuFmlGEQxNLonvhDpyfcdVgP1dko&#10;2HyEycHtq7fddMBsSN3rcKJOqceH5eUZhMfF/8Fw02d1KNnpaM/UODEqCLMoYlRBliYJCCayNObh&#10;yOgmitcgy0L+L1H+AgAA//8DAFBLAQItABQABgAIAAAAIQC2gziS/gAAAOEBAAATAAAAAAAAAAAA&#10;AAAAAAAAAABbQ29udGVudF9UeXBlc10ueG1sUEsBAi0AFAAGAAgAAAAhADj9If/WAAAAlAEAAAsA&#10;AAAAAAAAAAAAAAAALwEAAF9yZWxzLy5yZWxzUEsBAi0AFAAGAAgAAAAhALXVdZU+AgAATgQAAA4A&#10;AAAAAAAAAAAAAAAALgIAAGRycy9lMm9Eb2MueG1sUEsBAi0AFAAGAAgAAAAhAN30tzTfAAAADAEA&#10;AA8AAAAAAAAAAAAAAAAAmAQAAGRycy9kb3ducmV2LnhtbFBLBQYAAAAABAAEAPMAAACkBQAAAAA=&#10;" stroked="f">
                <v:fill opacity="0"/>
                <v:textbox inset="0,0,0,0">
                  <w:txbxContent>
                    <w:p w14:paraId="0CFB6E44" w14:textId="7222EE48" w:rsidR="008542A0" w:rsidRPr="00D84EE4" w:rsidRDefault="00AA4986" w:rsidP="004F7FB5">
                      <w:pPr>
                        <w:jc w:val="right"/>
                        <w:rPr>
                          <w:rFonts w:ascii="Century Gothic" w:hAnsi="Century Gothic" w:cs="Century Gothic"/>
                          <w:b/>
                          <w:bCs/>
                          <w:color w:val="000000"/>
                          <w:sz w:val="24"/>
                          <w:szCs w:val="24"/>
                        </w:rPr>
                      </w:pPr>
                      <w:r>
                        <w:rPr>
                          <w:rFonts w:ascii="Century Gothic" w:hAnsi="Century Gothic" w:cs="Century Gothic"/>
                          <w:color w:val="000000"/>
                          <w:sz w:val="24"/>
                          <w:szCs w:val="24"/>
                        </w:rPr>
                        <w:t>3 June 2016</w:t>
                      </w:r>
                    </w:p>
                    <w:p w14:paraId="24C1E160" w14:textId="77777777" w:rsidR="008542A0" w:rsidRDefault="008542A0" w:rsidP="004F7FB5">
                      <w:pPr>
                        <w:jc w:val="right"/>
                        <w:rPr>
                          <w:rFonts w:ascii="Century Gothic" w:hAnsi="Century Gothic" w:cs="Century Gothic"/>
                          <w:b/>
                          <w:bCs/>
                          <w:color w:val="000000"/>
                          <w:sz w:val="44"/>
                          <w:szCs w:val="44"/>
                        </w:rPr>
                      </w:pPr>
                    </w:p>
                    <w:p w14:paraId="3CEFDBF8" w14:textId="77777777" w:rsidR="008542A0" w:rsidRDefault="008542A0" w:rsidP="004F7FB5">
                      <w:pPr>
                        <w:jc w:val="right"/>
                        <w:rPr>
                          <w:rFonts w:ascii="Arial Bold" w:hAnsi="Arial Bold"/>
                        </w:rPr>
                      </w:pPr>
                    </w:p>
                  </w:txbxContent>
                </v:textbox>
              </v:shape>
            </w:pict>
          </mc:Fallback>
        </mc:AlternateContent>
      </w:r>
      <w:r w:rsidR="004F7FB5">
        <w:rPr>
          <w:noProof/>
          <w:color w:val="484E41"/>
        </w:rPr>
        <w:drawing>
          <wp:anchor distT="0" distB="0" distL="114300" distR="114300" simplePos="0" relativeHeight="251658752" behindDoc="0" locked="0" layoutInCell="1" allowOverlap="1" wp14:anchorId="1CFF2801" wp14:editId="03AE6511">
            <wp:simplePos x="0" y="0"/>
            <wp:positionH relativeFrom="column">
              <wp:posOffset>3004185</wp:posOffset>
            </wp:positionH>
            <wp:positionV relativeFrom="page">
              <wp:posOffset>9555480</wp:posOffset>
            </wp:positionV>
            <wp:extent cx="3110865" cy="869950"/>
            <wp:effectExtent l="0" t="0" r="0" b="6350"/>
            <wp:wrapTight wrapText="bothSides">
              <wp:wrapPolygon edited="0">
                <wp:start x="0" y="0"/>
                <wp:lineTo x="0" y="21285"/>
                <wp:lineTo x="21428" y="21285"/>
                <wp:lineTo x="21428" y="0"/>
                <wp:lineTo x="0" y="0"/>
              </wp:wrapPolygon>
            </wp:wrapTight>
            <wp:docPr id="5" name="Picture 10" descr="NO023_IPACrestfull_wTAG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023_IPACrestfull_wTAG_PMS"/>
                    <pic:cNvPicPr>
                      <a:picLocks noChangeAspect="1" noChangeArrowheads="1"/>
                    </pic:cNvPicPr>
                  </pic:nvPicPr>
                  <pic:blipFill>
                    <a:blip r:embed="rId12" cstate="print"/>
                    <a:srcRect/>
                    <a:stretch>
                      <a:fillRect/>
                    </a:stretch>
                  </pic:blipFill>
                  <pic:spPr bwMode="auto">
                    <a:xfrm>
                      <a:off x="0" y="0"/>
                      <a:ext cx="3110865" cy="869950"/>
                    </a:xfrm>
                    <a:prstGeom prst="rect">
                      <a:avLst/>
                    </a:prstGeom>
                    <a:noFill/>
                    <a:ln w="9525">
                      <a:noFill/>
                      <a:miter lim="800000"/>
                      <a:headEnd/>
                      <a:tailEnd/>
                    </a:ln>
                  </pic:spPr>
                </pic:pic>
              </a:graphicData>
            </a:graphic>
          </wp:anchor>
        </w:drawing>
      </w:r>
      <w:r w:rsidR="00D46E6B">
        <w:br w:type="page"/>
      </w:r>
    </w:p>
    <w:p w14:paraId="545ECA49" w14:textId="77777777" w:rsidR="007F790D" w:rsidRDefault="007F790D" w:rsidP="007F790D">
      <w:pPr>
        <w:pStyle w:val="Heading1"/>
      </w:pPr>
      <w:bookmarkStart w:id="2" w:name="_Toc314836483"/>
      <w:bookmarkStart w:id="3" w:name="_Toc314836663"/>
      <w:bookmarkStart w:id="4" w:name="_Toc397553210"/>
      <w:bookmarkEnd w:id="0"/>
      <w:bookmarkEnd w:id="1"/>
      <w:r>
        <w:lastRenderedPageBreak/>
        <w:t>IPA - Deakin SME Research Partnership</w:t>
      </w:r>
    </w:p>
    <w:p w14:paraId="53834190" w14:textId="77777777" w:rsidR="007F790D" w:rsidRDefault="007F790D" w:rsidP="007F790D">
      <w:pPr>
        <w:autoSpaceDE w:val="0"/>
        <w:autoSpaceDN w:val="0"/>
        <w:adjustRightInd w:val="0"/>
        <w:spacing w:after="0" w:line="240" w:lineRule="auto"/>
        <w:rPr>
          <w:rFonts w:ascii="Futura-Book" w:hAnsi="Futura-Book" w:cs="Futura-Book"/>
          <w:sz w:val="28"/>
          <w:szCs w:val="28"/>
        </w:rPr>
      </w:pPr>
    </w:p>
    <w:p w14:paraId="6D77127E" w14:textId="77777777" w:rsidR="007F790D" w:rsidRDefault="007F790D" w:rsidP="007F790D">
      <w:pPr>
        <w:autoSpaceDE w:val="0"/>
        <w:autoSpaceDN w:val="0"/>
        <w:adjustRightInd w:val="0"/>
        <w:spacing w:after="0" w:line="240" w:lineRule="auto"/>
        <w:rPr>
          <w:rFonts w:ascii="Futura-Light" w:hAnsi="Futura-Light" w:cs="Futura-Light"/>
          <w:sz w:val="19"/>
          <w:szCs w:val="19"/>
        </w:rPr>
      </w:pPr>
    </w:p>
    <w:p w14:paraId="0C0D5C2B" w14:textId="0BD191F5" w:rsidR="007F790D" w:rsidRPr="00055F6B" w:rsidRDefault="007F790D" w:rsidP="007F790D">
      <w:pPr>
        <w:autoSpaceDE w:val="0"/>
        <w:autoSpaceDN w:val="0"/>
        <w:adjustRightInd w:val="0"/>
        <w:spacing w:after="0" w:line="240" w:lineRule="auto"/>
        <w:rPr>
          <w:rFonts w:ascii="Futura-Light" w:hAnsi="Futura-Light" w:cs="Futura-Light"/>
          <w:sz w:val="22"/>
          <w:szCs w:val="22"/>
        </w:rPr>
      </w:pPr>
      <w:r w:rsidRPr="00055F6B">
        <w:rPr>
          <w:rFonts w:ascii="Futura-Light" w:hAnsi="Futura-Light" w:cs="Futura-Light"/>
          <w:sz w:val="22"/>
          <w:szCs w:val="22"/>
        </w:rPr>
        <w:t xml:space="preserve">The Institute of Public Accountants (IPA) is one of the three legally recognised professional accounting bodies in Australia. The IPA has been in operation for over 90 years and has grown rapidly in recent years to represent more than </w:t>
      </w:r>
      <w:r w:rsidR="00C90346" w:rsidRPr="00055F6B">
        <w:rPr>
          <w:rFonts w:ascii="Futura-Light" w:hAnsi="Futura-Light" w:cs="Futura-Light"/>
          <w:sz w:val="22"/>
          <w:szCs w:val="22"/>
        </w:rPr>
        <w:t>3</w:t>
      </w:r>
      <w:r w:rsidRPr="00055F6B">
        <w:rPr>
          <w:rFonts w:ascii="Futura-Light" w:hAnsi="Futura-Light" w:cs="Futura-Light"/>
          <w:sz w:val="22"/>
          <w:szCs w:val="22"/>
        </w:rPr>
        <w:t xml:space="preserve">5,000 members and students in Australia and in more than </w:t>
      </w:r>
      <w:r w:rsidR="00C90346" w:rsidRPr="00055F6B">
        <w:rPr>
          <w:rFonts w:ascii="Futura-Light" w:hAnsi="Futura-Light" w:cs="Futura-Light"/>
          <w:sz w:val="22"/>
          <w:szCs w:val="22"/>
        </w:rPr>
        <w:t>65</w:t>
      </w:r>
      <w:r w:rsidRPr="00055F6B">
        <w:rPr>
          <w:rFonts w:ascii="Futura-Light" w:hAnsi="Futura-Light" w:cs="Futura-Light"/>
          <w:sz w:val="22"/>
          <w:szCs w:val="22"/>
        </w:rPr>
        <w:t xml:space="preserve"> countries. The IPA has offices around Australia and in </w:t>
      </w:r>
      <w:r w:rsidR="00C90346" w:rsidRPr="00055F6B">
        <w:rPr>
          <w:rFonts w:ascii="Futura-Light" w:hAnsi="Futura-Light" w:cs="Futura-Light"/>
          <w:sz w:val="22"/>
          <w:szCs w:val="22"/>
        </w:rPr>
        <w:t xml:space="preserve">London, </w:t>
      </w:r>
      <w:r w:rsidRPr="00055F6B">
        <w:rPr>
          <w:rFonts w:ascii="Futura-Light" w:hAnsi="Futura-Light" w:cs="Futura-Light"/>
          <w:sz w:val="22"/>
          <w:szCs w:val="22"/>
        </w:rPr>
        <w:t>Beijing, Shanghai, Guangzhou</w:t>
      </w:r>
      <w:r w:rsidR="00C90346" w:rsidRPr="00055F6B">
        <w:rPr>
          <w:rFonts w:ascii="Futura-Light" w:hAnsi="Futura-Light" w:cs="Futura-Light"/>
          <w:sz w:val="22"/>
          <w:szCs w:val="22"/>
        </w:rPr>
        <w:t>, Hong Kong</w:t>
      </w:r>
      <w:r w:rsidRPr="00055F6B">
        <w:rPr>
          <w:rFonts w:ascii="Futura-Light" w:hAnsi="Futura-Light" w:cs="Futura-Light"/>
          <w:sz w:val="22"/>
          <w:szCs w:val="22"/>
        </w:rPr>
        <w:t xml:space="preserve"> and Kuala Lumpur. It also has a range of partnerships with other global accounting bodies. The IPA is a full member of the International Federation of Accountants and has almost 4,000 individual accounting practices in its network, generating in excess of $2.1 billion in accounting services fees annually. The IPA’s unique proposition is that it is for </w:t>
      </w:r>
      <w:r w:rsidRPr="00055F6B">
        <w:rPr>
          <w:rFonts w:ascii="Futura-LightOblique" w:hAnsi="Futura-LightOblique" w:cs="Futura-LightOblique"/>
          <w:i/>
          <w:iCs/>
          <w:sz w:val="22"/>
          <w:szCs w:val="22"/>
        </w:rPr>
        <w:t>small business</w:t>
      </w:r>
      <w:r w:rsidRPr="00055F6B">
        <w:rPr>
          <w:rFonts w:ascii="Futura-Light" w:hAnsi="Futura-Light" w:cs="Futura-Light"/>
          <w:sz w:val="22"/>
          <w:szCs w:val="22"/>
        </w:rPr>
        <w:t xml:space="preserve">; providing personal, practical and valued services to its members and their clients/employers. More than 75 per cent of IPA members work directly in or with small business every day. The IPA has a proud record of innovation and was recognised in 2012 by </w:t>
      </w:r>
      <w:r w:rsidRPr="00055F6B">
        <w:rPr>
          <w:rFonts w:ascii="Futura-LightOblique" w:hAnsi="Futura-LightOblique" w:cs="Futura-LightOblique"/>
          <w:i/>
          <w:iCs/>
          <w:sz w:val="22"/>
          <w:szCs w:val="22"/>
        </w:rPr>
        <w:t xml:space="preserve">BRW </w:t>
      </w:r>
      <w:r w:rsidRPr="00055F6B">
        <w:rPr>
          <w:rFonts w:ascii="Futura-Light" w:hAnsi="Futura-Light" w:cs="Futura-Light"/>
          <w:sz w:val="22"/>
          <w:szCs w:val="22"/>
        </w:rPr>
        <w:t>as one of Australia’s top 20 most innovative companies.</w:t>
      </w:r>
    </w:p>
    <w:p w14:paraId="728548F1" w14:textId="77777777" w:rsidR="00055F6B" w:rsidRPr="00055F6B" w:rsidRDefault="00055F6B" w:rsidP="007F790D">
      <w:pPr>
        <w:autoSpaceDE w:val="0"/>
        <w:autoSpaceDN w:val="0"/>
        <w:adjustRightInd w:val="0"/>
        <w:spacing w:after="0" w:line="240" w:lineRule="auto"/>
        <w:rPr>
          <w:rFonts w:ascii="Futura-Light" w:hAnsi="Futura-Light" w:cs="Futura-Light"/>
          <w:sz w:val="22"/>
          <w:szCs w:val="22"/>
        </w:rPr>
      </w:pPr>
    </w:p>
    <w:p w14:paraId="7E4C2861" w14:textId="084BBFA8" w:rsidR="00055F6B" w:rsidRPr="00055F6B" w:rsidRDefault="00055F6B" w:rsidP="007F790D">
      <w:pPr>
        <w:autoSpaceDE w:val="0"/>
        <w:autoSpaceDN w:val="0"/>
        <w:adjustRightInd w:val="0"/>
        <w:spacing w:after="0" w:line="240" w:lineRule="auto"/>
        <w:rPr>
          <w:rFonts w:ascii="Futura-Light" w:hAnsi="Futura-Light" w:cs="Futura-Light"/>
          <w:sz w:val="22"/>
          <w:szCs w:val="22"/>
        </w:rPr>
      </w:pPr>
      <w:r w:rsidRPr="00055F6B">
        <w:rPr>
          <w:rFonts w:ascii="Futura-Light" w:hAnsi="Futura-Light" w:cs="Futura-Light"/>
          <w:sz w:val="22"/>
          <w:szCs w:val="22"/>
        </w:rPr>
        <w:t xml:space="preserve">In 2015 the IPA merged with the Institute of Financial Accountants of the UK to form the IPA Group, which is now the largest SME/SMP focused accounting body in the world.  </w:t>
      </w:r>
    </w:p>
    <w:p w14:paraId="7795A2C7"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p>
    <w:p w14:paraId="42929F3C"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r w:rsidRPr="00055F6B">
        <w:rPr>
          <w:rFonts w:ascii="Futura-Light" w:hAnsi="Futura-Light" w:cs="Futura-Light"/>
          <w:sz w:val="22"/>
          <w:szCs w:val="22"/>
        </w:rPr>
        <w:t xml:space="preserve">In 2013, the IPA partnered with Deakin University to form the IPA Deakin University SME Research Partnership, a first in Australia. The goal of the partnership is to bring together practitioner insights with cutting edge SME academic research, to provide informed comment for substantive policy development. </w:t>
      </w:r>
    </w:p>
    <w:p w14:paraId="0DF38CDA"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p>
    <w:p w14:paraId="536F48AF"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r w:rsidRPr="00055F6B">
        <w:rPr>
          <w:rFonts w:ascii="Futura-Light" w:hAnsi="Futura-Light" w:cs="Futura-Light"/>
          <w:sz w:val="22"/>
          <w:szCs w:val="22"/>
        </w:rPr>
        <w:t>The IPA Deakin SME Research Partnership comprises:</w:t>
      </w:r>
    </w:p>
    <w:p w14:paraId="6F4431F8"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p>
    <w:p w14:paraId="263DF37A"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r w:rsidRPr="00055F6B">
        <w:rPr>
          <w:rFonts w:ascii="Futura-Light" w:hAnsi="Futura-Light" w:cs="Futura-Light"/>
          <w:sz w:val="22"/>
          <w:szCs w:val="22"/>
        </w:rPr>
        <w:t>Chair Andrew Conway FIPA</w:t>
      </w:r>
    </w:p>
    <w:p w14:paraId="31B256E1" w14:textId="77777777" w:rsidR="007F790D" w:rsidRPr="00055F6B" w:rsidRDefault="007F790D" w:rsidP="007F790D">
      <w:pPr>
        <w:autoSpaceDE w:val="0"/>
        <w:autoSpaceDN w:val="0"/>
        <w:adjustRightInd w:val="0"/>
        <w:spacing w:after="0" w:line="240" w:lineRule="auto"/>
        <w:rPr>
          <w:rFonts w:ascii="Futura-Book" w:hAnsi="Futura-Book" w:cs="Futura-Book"/>
          <w:b/>
          <w:sz w:val="22"/>
          <w:szCs w:val="22"/>
        </w:rPr>
      </w:pPr>
      <w:r w:rsidRPr="00055F6B">
        <w:rPr>
          <w:rFonts w:ascii="Futura-Book" w:hAnsi="Futura-Book" w:cs="Futura-Book"/>
          <w:b/>
          <w:sz w:val="22"/>
          <w:szCs w:val="22"/>
        </w:rPr>
        <w:t xml:space="preserve">(Chief Executive of the IPA and Professor of Accounting </w:t>
      </w:r>
      <w:r w:rsidRPr="00055F6B">
        <w:rPr>
          <w:rFonts w:ascii="Futura-BookOblique" w:hAnsi="Futura-BookOblique" w:cs="Futura-BookOblique"/>
          <w:b/>
          <w:i/>
          <w:iCs/>
          <w:sz w:val="22"/>
          <w:szCs w:val="22"/>
        </w:rPr>
        <w:t xml:space="preserve">honoris causa </w:t>
      </w:r>
      <w:r w:rsidRPr="00055F6B">
        <w:rPr>
          <w:rFonts w:ascii="Futura-Book" w:hAnsi="Futura-Book" w:cs="Futura-Book"/>
          <w:b/>
          <w:sz w:val="22"/>
          <w:szCs w:val="22"/>
        </w:rPr>
        <w:t>Shanghai</w:t>
      </w:r>
    </w:p>
    <w:p w14:paraId="21BBBB20" w14:textId="77777777" w:rsidR="007F790D" w:rsidRPr="00055F6B" w:rsidRDefault="007F790D" w:rsidP="007F790D">
      <w:pPr>
        <w:autoSpaceDE w:val="0"/>
        <w:autoSpaceDN w:val="0"/>
        <w:adjustRightInd w:val="0"/>
        <w:spacing w:after="0" w:line="240" w:lineRule="auto"/>
        <w:rPr>
          <w:rFonts w:ascii="Futura-Book" w:hAnsi="Futura-Book" w:cs="Futura-Book"/>
          <w:sz w:val="22"/>
          <w:szCs w:val="22"/>
        </w:rPr>
      </w:pPr>
      <w:r w:rsidRPr="00055F6B">
        <w:rPr>
          <w:rFonts w:ascii="Futura-Book" w:hAnsi="Futura-Book" w:cs="Futura-Book"/>
          <w:b/>
          <w:sz w:val="22"/>
          <w:szCs w:val="22"/>
        </w:rPr>
        <w:t>University of Finance and Economics)</w:t>
      </w:r>
    </w:p>
    <w:p w14:paraId="3A0675BE"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p>
    <w:p w14:paraId="24DFDFEE"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r w:rsidRPr="00055F6B">
        <w:rPr>
          <w:rFonts w:ascii="Futura-Light" w:hAnsi="Futura-Light" w:cs="Futura-Light"/>
          <w:sz w:val="22"/>
          <w:szCs w:val="22"/>
        </w:rPr>
        <w:t>Professor Peter Carey</w:t>
      </w:r>
    </w:p>
    <w:p w14:paraId="3B9E6223" w14:textId="77777777" w:rsidR="007F790D" w:rsidRPr="00055F6B" w:rsidRDefault="007F790D" w:rsidP="007F790D">
      <w:pPr>
        <w:autoSpaceDE w:val="0"/>
        <w:autoSpaceDN w:val="0"/>
        <w:adjustRightInd w:val="0"/>
        <w:spacing w:after="0" w:line="240" w:lineRule="auto"/>
        <w:rPr>
          <w:rFonts w:ascii="Futura-Book" w:hAnsi="Futura-Book" w:cs="Futura-Book"/>
          <w:b/>
          <w:sz w:val="22"/>
          <w:szCs w:val="22"/>
        </w:rPr>
      </w:pPr>
      <w:r w:rsidRPr="00055F6B">
        <w:rPr>
          <w:rFonts w:ascii="Futura-Book" w:hAnsi="Futura-Book" w:cs="Futura-Book"/>
          <w:b/>
          <w:sz w:val="22"/>
          <w:szCs w:val="22"/>
        </w:rPr>
        <w:t>(Head, Department of Accounting, Deakin Business School)</w:t>
      </w:r>
    </w:p>
    <w:p w14:paraId="4627A6CA"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p>
    <w:p w14:paraId="7A36778F"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r w:rsidRPr="00055F6B">
        <w:rPr>
          <w:rFonts w:ascii="Futura-Light" w:hAnsi="Futura-Light" w:cs="Futura-Light"/>
          <w:sz w:val="22"/>
          <w:szCs w:val="22"/>
        </w:rPr>
        <w:t>Professor Barry Cooper</w:t>
      </w:r>
    </w:p>
    <w:p w14:paraId="1695A389" w14:textId="77777777" w:rsidR="007F790D" w:rsidRPr="00055F6B" w:rsidRDefault="007F790D" w:rsidP="007F790D">
      <w:pPr>
        <w:autoSpaceDE w:val="0"/>
        <w:autoSpaceDN w:val="0"/>
        <w:adjustRightInd w:val="0"/>
        <w:spacing w:after="0" w:line="240" w:lineRule="auto"/>
        <w:rPr>
          <w:rFonts w:ascii="Futura-Book" w:hAnsi="Futura-Book" w:cs="Futura-Book"/>
          <w:b/>
          <w:sz w:val="22"/>
          <w:szCs w:val="22"/>
        </w:rPr>
      </w:pPr>
      <w:r w:rsidRPr="00055F6B">
        <w:rPr>
          <w:rFonts w:ascii="Futura-Book" w:hAnsi="Futura-Book" w:cs="Futura-Book"/>
          <w:b/>
          <w:sz w:val="22"/>
          <w:szCs w:val="22"/>
        </w:rPr>
        <w:t>(Associate Dean, Deakin Business School)</w:t>
      </w:r>
    </w:p>
    <w:p w14:paraId="05AF788B"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p>
    <w:p w14:paraId="57AE9820"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r w:rsidRPr="00055F6B">
        <w:rPr>
          <w:rFonts w:ascii="Futura-Light" w:hAnsi="Futura-Light" w:cs="Futura-Light"/>
          <w:sz w:val="22"/>
          <w:szCs w:val="22"/>
        </w:rPr>
        <w:t>Mr Tony Greco FIPA</w:t>
      </w:r>
    </w:p>
    <w:p w14:paraId="600EF178" w14:textId="08147E9A" w:rsidR="007F790D" w:rsidRPr="00055F6B" w:rsidRDefault="00055F6B" w:rsidP="007F790D">
      <w:pPr>
        <w:autoSpaceDE w:val="0"/>
        <w:autoSpaceDN w:val="0"/>
        <w:adjustRightInd w:val="0"/>
        <w:spacing w:after="0" w:line="240" w:lineRule="auto"/>
        <w:rPr>
          <w:rFonts w:ascii="Futura-Book" w:hAnsi="Futura-Book" w:cs="Futura-Book"/>
          <w:b/>
          <w:sz w:val="22"/>
          <w:szCs w:val="22"/>
        </w:rPr>
      </w:pPr>
      <w:r w:rsidRPr="00055F6B">
        <w:rPr>
          <w:rFonts w:ascii="Futura-Book" w:hAnsi="Futura-Book" w:cs="Futura-Book"/>
          <w:b/>
          <w:sz w:val="22"/>
          <w:szCs w:val="22"/>
        </w:rPr>
        <w:t>(</w:t>
      </w:r>
      <w:r w:rsidR="007F790D" w:rsidRPr="00055F6B">
        <w:rPr>
          <w:rFonts w:ascii="Futura-Book" w:hAnsi="Futura-Book" w:cs="Futura-Book"/>
          <w:b/>
          <w:sz w:val="22"/>
          <w:szCs w:val="22"/>
        </w:rPr>
        <w:t>IPA General Manager</w:t>
      </w:r>
      <w:r w:rsidRPr="00055F6B">
        <w:rPr>
          <w:rFonts w:ascii="Futura-Book" w:hAnsi="Futura-Book" w:cs="Futura-Book"/>
          <w:b/>
          <w:sz w:val="22"/>
          <w:szCs w:val="22"/>
        </w:rPr>
        <w:t>,</w:t>
      </w:r>
      <w:r w:rsidR="007F790D" w:rsidRPr="00055F6B">
        <w:rPr>
          <w:rFonts w:ascii="Futura-Book" w:hAnsi="Futura-Book" w:cs="Futura-Book"/>
          <w:b/>
          <w:sz w:val="22"/>
          <w:szCs w:val="22"/>
        </w:rPr>
        <w:t xml:space="preserve"> Technical Policy)</w:t>
      </w:r>
    </w:p>
    <w:p w14:paraId="38526D60"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p>
    <w:p w14:paraId="764C2830"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r w:rsidRPr="00055F6B">
        <w:rPr>
          <w:rFonts w:ascii="Futura-Light" w:hAnsi="Futura-Light" w:cs="Futura-Light"/>
          <w:sz w:val="22"/>
          <w:szCs w:val="22"/>
        </w:rPr>
        <w:t>Ms Vicki Stylianou</w:t>
      </w:r>
    </w:p>
    <w:p w14:paraId="62AEC21B" w14:textId="74F23CBE" w:rsidR="007F790D" w:rsidRPr="00055F6B" w:rsidRDefault="007F790D" w:rsidP="007F790D">
      <w:pPr>
        <w:autoSpaceDE w:val="0"/>
        <w:autoSpaceDN w:val="0"/>
        <w:adjustRightInd w:val="0"/>
        <w:spacing w:after="0" w:line="240" w:lineRule="auto"/>
        <w:rPr>
          <w:rFonts w:ascii="Futura-Book" w:hAnsi="Futura-Book" w:cs="Futura-Book"/>
          <w:b/>
          <w:sz w:val="22"/>
          <w:szCs w:val="22"/>
        </w:rPr>
      </w:pPr>
      <w:r w:rsidRPr="00055F6B">
        <w:rPr>
          <w:rFonts w:ascii="Futura-Book" w:hAnsi="Futura-Book" w:cs="Futura-Book"/>
          <w:b/>
          <w:sz w:val="22"/>
          <w:szCs w:val="22"/>
        </w:rPr>
        <w:t>(IPA Executive General Manager</w:t>
      </w:r>
      <w:r w:rsidR="00055F6B" w:rsidRPr="00055F6B">
        <w:rPr>
          <w:rFonts w:ascii="Futura-Book" w:hAnsi="Futura-Book" w:cs="Futura-Book"/>
          <w:b/>
          <w:sz w:val="22"/>
          <w:szCs w:val="22"/>
        </w:rPr>
        <w:t>, Advocacy &amp; Technical</w:t>
      </w:r>
      <w:r w:rsidRPr="00055F6B">
        <w:rPr>
          <w:rFonts w:ascii="Futura-Book" w:hAnsi="Futura-Book" w:cs="Futura-Book"/>
          <w:b/>
          <w:sz w:val="22"/>
          <w:szCs w:val="22"/>
        </w:rPr>
        <w:t>)</w:t>
      </w:r>
    </w:p>
    <w:p w14:paraId="65596BA2"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p>
    <w:p w14:paraId="32832049" w14:textId="77777777" w:rsidR="007F790D" w:rsidRPr="00055F6B" w:rsidRDefault="007F790D" w:rsidP="007F790D">
      <w:pPr>
        <w:autoSpaceDE w:val="0"/>
        <w:autoSpaceDN w:val="0"/>
        <w:adjustRightInd w:val="0"/>
        <w:spacing w:after="0" w:line="240" w:lineRule="auto"/>
        <w:rPr>
          <w:rFonts w:ascii="Futura-Light" w:hAnsi="Futura-Light" w:cs="Futura-Light"/>
          <w:sz w:val="22"/>
          <w:szCs w:val="22"/>
        </w:rPr>
      </w:pPr>
      <w:r w:rsidRPr="00055F6B">
        <w:rPr>
          <w:rFonts w:ascii="Futura-Light" w:hAnsi="Futura-Light" w:cs="Futura-Light"/>
          <w:sz w:val="22"/>
          <w:szCs w:val="22"/>
        </w:rPr>
        <w:t>Prof George Tanewski</w:t>
      </w:r>
    </w:p>
    <w:p w14:paraId="6B7A62B7" w14:textId="77777777" w:rsidR="007F790D" w:rsidRPr="00055F6B" w:rsidRDefault="007F790D" w:rsidP="007F790D">
      <w:pPr>
        <w:rPr>
          <w:rFonts w:ascii="Futura-Book" w:hAnsi="Futura-Book" w:cs="Futura-Book"/>
          <w:b/>
          <w:sz w:val="22"/>
          <w:szCs w:val="22"/>
        </w:rPr>
      </w:pPr>
      <w:r w:rsidRPr="00055F6B">
        <w:rPr>
          <w:rFonts w:ascii="Futura-Book" w:hAnsi="Futura-Book" w:cs="Futura-Book"/>
          <w:b/>
          <w:sz w:val="22"/>
          <w:szCs w:val="22"/>
        </w:rPr>
        <w:t>(Deakin Business School)</w:t>
      </w:r>
    </w:p>
    <w:p w14:paraId="5129EA49" w14:textId="0AB0D993" w:rsidR="007F790D" w:rsidRPr="00055F6B" w:rsidRDefault="0080229E" w:rsidP="007F790D">
      <w:pPr>
        <w:rPr>
          <w:rFonts w:ascii="Futura-Book" w:hAnsi="Futura-Book" w:cs="Futura-Book"/>
          <w:b/>
          <w:sz w:val="22"/>
          <w:szCs w:val="22"/>
        </w:rPr>
      </w:pPr>
      <w:r w:rsidRPr="00055F6B">
        <w:rPr>
          <w:rFonts w:ascii="Futura-Book" w:hAnsi="Futura-Book" w:cs="Futura-Book"/>
          <w:b/>
          <w:sz w:val="22"/>
          <w:szCs w:val="22"/>
        </w:rPr>
        <w:t xml:space="preserve">'This report was prepared by Professor </w:t>
      </w:r>
      <w:r w:rsidR="00AA4986" w:rsidRPr="00055F6B">
        <w:rPr>
          <w:rFonts w:ascii="Futura-Book" w:hAnsi="Futura-Book" w:cs="Futura-Book"/>
          <w:b/>
          <w:sz w:val="22"/>
          <w:szCs w:val="22"/>
        </w:rPr>
        <w:t>George Tanewski</w:t>
      </w:r>
      <w:r w:rsidR="0032503B" w:rsidRPr="00055F6B">
        <w:rPr>
          <w:rFonts w:ascii="Futura-Book" w:hAnsi="Futura-Book" w:cs="Futura-Book"/>
          <w:b/>
          <w:sz w:val="22"/>
          <w:szCs w:val="22"/>
        </w:rPr>
        <w:t xml:space="preserve"> </w:t>
      </w:r>
      <w:r w:rsidRPr="00055F6B">
        <w:rPr>
          <w:rFonts w:ascii="Futura-Book" w:hAnsi="Futura-Book" w:cs="Futura-Book"/>
          <w:b/>
          <w:sz w:val="22"/>
          <w:szCs w:val="22"/>
        </w:rPr>
        <w:t>on behalf of the IPA-Deakin SME Research Partnership.</w:t>
      </w:r>
    </w:p>
    <w:p w14:paraId="500DCA43" w14:textId="621B579A" w:rsidR="007F790D" w:rsidRPr="00055F6B" w:rsidRDefault="00AA4986" w:rsidP="007F790D">
      <w:pPr>
        <w:rPr>
          <w:rFonts w:ascii="Futura-Book" w:hAnsi="Futura-Book" w:cs="Futura-Book"/>
          <w:b/>
          <w:sz w:val="22"/>
          <w:szCs w:val="22"/>
        </w:rPr>
      </w:pPr>
      <w:r w:rsidRPr="00055F6B">
        <w:rPr>
          <w:rFonts w:ascii="Futura-Light" w:hAnsi="Futura-Light" w:cs="Futura-Light"/>
          <w:b/>
          <w:sz w:val="22"/>
          <w:szCs w:val="22"/>
        </w:rPr>
        <w:t>Copyright © 2016</w:t>
      </w:r>
      <w:r w:rsidR="007F790D" w:rsidRPr="00055F6B">
        <w:rPr>
          <w:rFonts w:ascii="Futura-Light" w:hAnsi="Futura-Light" w:cs="Futura-Light"/>
          <w:b/>
          <w:sz w:val="22"/>
          <w:szCs w:val="22"/>
        </w:rPr>
        <w:t xml:space="preserve"> Institute of Public Accountants and Deakin University</w:t>
      </w:r>
    </w:p>
    <w:p w14:paraId="3C153AB7" w14:textId="77777777" w:rsidR="007F790D" w:rsidRPr="00055F6B" w:rsidRDefault="007F790D" w:rsidP="007F790D">
      <w:pPr>
        <w:rPr>
          <w:sz w:val="22"/>
          <w:szCs w:val="22"/>
        </w:rPr>
      </w:pPr>
    </w:p>
    <w:p w14:paraId="0D2807DF" w14:textId="7C608D44" w:rsidR="001835DA" w:rsidRDefault="001835DA" w:rsidP="00055F6B">
      <w:pPr>
        <w:rPr>
          <w:rFonts w:cs="Arial"/>
          <w:sz w:val="22"/>
          <w:szCs w:val="22"/>
        </w:rPr>
      </w:pPr>
      <w:r w:rsidRPr="00D8478A">
        <w:rPr>
          <w:rFonts w:cs="Arial"/>
          <w:sz w:val="22"/>
          <w:szCs w:val="22"/>
        </w:rPr>
        <w:lastRenderedPageBreak/>
        <w:t>02 June, 2016</w:t>
      </w:r>
    </w:p>
    <w:p w14:paraId="02F33F6D" w14:textId="2E14E830" w:rsidR="000E50D0" w:rsidRDefault="000E50D0" w:rsidP="000E50D0">
      <w:pPr>
        <w:spacing w:after="0"/>
        <w:rPr>
          <w:rFonts w:cs="Arial"/>
          <w:sz w:val="22"/>
          <w:szCs w:val="22"/>
        </w:rPr>
      </w:pPr>
      <w:r>
        <w:rPr>
          <w:rFonts w:cs="Arial"/>
          <w:sz w:val="22"/>
          <w:szCs w:val="22"/>
        </w:rPr>
        <w:t>Small Business Entities and Industry Concessions Unit</w:t>
      </w:r>
    </w:p>
    <w:p w14:paraId="48D4FDAE" w14:textId="5DC80476" w:rsidR="000E50D0" w:rsidRDefault="000E50D0" w:rsidP="000E50D0">
      <w:pPr>
        <w:spacing w:after="0"/>
        <w:rPr>
          <w:rFonts w:cs="Arial"/>
          <w:sz w:val="22"/>
          <w:szCs w:val="22"/>
        </w:rPr>
      </w:pPr>
      <w:r>
        <w:rPr>
          <w:rFonts w:cs="Arial"/>
          <w:sz w:val="22"/>
          <w:szCs w:val="22"/>
        </w:rPr>
        <w:t>Individuals and Indirect Tax Division</w:t>
      </w:r>
    </w:p>
    <w:p w14:paraId="5A2BCF99" w14:textId="47295505" w:rsidR="000E50D0" w:rsidRDefault="000E50D0" w:rsidP="000E50D0">
      <w:pPr>
        <w:spacing w:after="0"/>
        <w:rPr>
          <w:rFonts w:cs="Arial"/>
          <w:sz w:val="22"/>
          <w:szCs w:val="22"/>
        </w:rPr>
      </w:pPr>
      <w:r>
        <w:rPr>
          <w:rFonts w:cs="Arial"/>
          <w:sz w:val="22"/>
          <w:szCs w:val="22"/>
        </w:rPr>
        <w:t xml:space="preserve">The Treasury </w:t>
      </w:r>
    </w:p>
    <w:p w14:paraId="5D600193" w14:textId="4209F051" w:rsidR="000E50D0" w:rsidRDefault="000E50D0" w:rsidP="000E50D0">
      <w:pPr>
        <w:spacing w:after="0"/>
        <w:rPr>
          <w:rFonts w:cs="Arial"/>
          <w:sz w:val="22"/>
          <w:szCs w:val="22"/>
        </w:rPr>
      </w:pPr>
      <w:r>
        <w:rPr>
          <w:rFonts w:cs="Arial"/>
          <w:sz w:val="22"/>
          <w:szCs w:val="22"/>
        </w:rPr>
        <w:t>Langton Crescent</w:t>
      </w:r>
    </w:p>
    <w:p w14:paraId="17AF7AE2" w14:textId="12552075" w:rsidR="000E50D0" w:rsidRDefault="000E50D0" w:rsidP="000E50D0">
      <w:pPr>
        <w:spacing w:after="0"/>
        <w:rPr>
          <w:rFonts w:cs="Arial"/>
          <w:sz w:val="22"/>
          <w:szCs w:val="22"/>
        </w:rPr>
      </w:pPr>
      <w:r>
        <w:rPr>
          <w:rFonts w:cs="Arial"/>
          <w:sz w:val="22"/>
          <w:szCs w:val="22"/>
        </w:rPr>
        <w:t xml:space="preserve">PARKES ACT 2600 </w:t>
      </w:r>
    </w:p>
    <w:p w14:paraId="1A24C31E" w14:textId="77777777" w:rsidR="000E50D0" w:rsidRDefault="000E50D0" w:rsidP="000E50D0">
      <w:pPr>
        <w:spacing w:after="0"/>
        <w:rPr>
          <w:rFonts w:cs="Arial"/>
          <w:sz w:val="22"/>
          <w:szCs w:val="22"/>
        </w:rPr>
      </w:pPr>
    </w:p>
    <w:p w14:paraId="66CAD17D" w14:textId="0846AB42" w:rsidR="000E50D0" w:rsidRPr="00D8478A" w:rsidRDefault="000E50D0" w:rsidP="00055F6B">
      <w:pPr>
        <w:rPr>
          <w:rFonts w:cs="Arial"/>
          <w:sz w:val="22"/>
          <w:szCs w:val="22"/>
        </w:rPr>
      </w:pPr>
      <w:r>
        <w:rPr>
          <w:rFonts w:cs="Arial"/>
          <w:sz w:val="22"/>
          <w:szCs w:val="22"/>
        </w:rPr>
        <w:t>Email: VentureCapital@TREASURY.GOV.AU</w:t>
      </w:r>
    </w:p>
    <w:p w14:paraId="53C2BE9E" w14:textId="3F857A85" w:rsidR="001835DA" w:rsidRPr="00D8478A" w:rsidRDefault="001835DA" w:rsidP="00055F6B">
      <w:pPr>
        <w:rPr>
          <w:rFonts w:cs="Arial"/>
          <w:sz w:val="22"/>
          <w:szCs w:val="22"/>
        </w:rPr>
      </w:pPr>
      <w:r w:rsidRPr="00D8478A">
        <w:rPr>
          <w:rFonts w:cs="Arial"/>
          <w:sz w:val="22"/>
          <w:szCs w:val="22"/>
        </w:rPr>
        <w:t xml:space="preserve">Dear Sir/Madam </w:t>
      </w:r>
    </w:p>
    <w:p w14:paraId="74DC390C" w14:textId="790D7E9A" w:rsidR="001835DA" w:rsidRPr="00D8478A" w:rsidRDefault="008062F2" w:rsidP="000E50D0">
      <w:pPr>
        <w:jc w:val="both"/>
        <w:rPr>
          <w:rFonts w:cs="Arial"/>
          <w:b/>
          <w:sz w:val="22"/>
          <w:szCs w:val="22"/>
        </w:rPr>
      </w:pPr>
      <w:r w:rsidRPr="00D8478A">
        <w:rPr>
          <w:rFonts w:cs="Arial"/>
          <w:b/>
          <w:sz w:val="22"/>
          <w:szCs w:val="22"/>
        </w:rPr>
        <w:t xml:space="preserve">Encouraging venture capital investment in </w:t>
      </w:r>
      <w:proofErr w:type="spellStart"/>
      <w:r w:rsidRPr="00D8478A">
        <w:rPr>
          <w:rFonts w:cs="Arial"/>
          <w:b/>
          <w:sz w:val="22"/>
          <w:szCs w:val="22"/>
        </w:rPr>
        <w:t>FinTech</w:t>
      </w:r>
      <w:proofErr w:type="spellEnd"/>
    </w:p>
    <w:p w14:paraId="7EBA0F36" w14:textId="059DD8BE" w:rsidR="001835DA" w:rsidRPr="00D8478A" w:rsidRDefault="001835DA" w:rsidP="000E50D0">
      <w:pPr>
        <w:jc w:val="both"/>
        <w:rPr>
          <w:rFonts w:cs="Arial"/>
          <w:sz w:val="22"/>
          <w:szCs w:val="22"/>
        </w:rPr>
      </w:pPr>
      <w:r w:rsidRPr="00D8478A">
        <w:rPr>
          <w:rFonts w:cs="Arial"/>
          <w:sz w:val="22"/>
          <w:szCs w:val="22"/>
        </w:rPr>
        <w:t>We welcome the opportunity to comment on this important propos</w:t>
      </w:r>
      <w:r w:rsidR="000E50D0">
        <w:rPr>
          <w:rFonts w:cs="Arial"/>
          <w:sz w:val="22"/>
          <w:szCs w:val="22"/>
        </w:rPr>
        <w:t>al</w:t>
      </w:r>
      <w:r w:rsidRPr="00D8478A">
        <w:rPr>
          <w:rFonts w:cs="Arial"/>
          <w:sz w:val="22"/>
          <w:szCs w:val="22"/>
        </w:rPr>
        <w:t xml:space="preserve"> to encourage venture capital</w:t>
      </w:r>
      <w:r w:rsidR="000E50D0">
        <w:rPr>
          <w:rFonts w:cs="Arial"/>
          <w:sz w:val="22"/>
          <w:szCs w:val="22"/>
        </w:rPr>
        <w:t xml:space="preserve"> investment</w:t>
      </w:r>
      <w:r w:rsidRPr="00D8478A">
        <w:rPr>
          <w:rFonts w:cs="Arial"/>
          <w:sz w:val="22"/>
          <w:szCs w:val="22"/>
        </w:rPr>
        <w:t xml:space="preserve"> in the </w:t>
      </w:r>
      <w:proofErr w:type="spellStart"/>
      <w:r w:rsidRPr="00D8478A">
        <w:rPr>
          <w:rFonts w:cs="Arial"/>
          <w:sz w:val="22"/>
          <w:szCs w:val="22"/>
        </w:rPr>
        <w:t>FinTech</w:t>
      </w:r>
      <w:proofErr w:type="spellEnd"/>
      <w:r w:rsidRPr="00D8478A">
        <w:rPr>
          <w:rFonts w:cs="Arial"/>
          <w:sz w:val="22"/>
          <w:szCs w:val="22"/>
        </w:rPr>
        <w:t xml:space="preserve"> sector. </w:t>
      </w:r>
    </w:p>
    <w:p w14:paraId="36272906" w14:textId="33DE0763" w:rsidR="008062F2" w:rsidRPr="00D8478A" w:rsidRDefault="008062F2" w:rsidP="000E50D0">
      <w:pPr>
        <w:jc w:val="both"/>
        <w:rPr>
          <w:rFonts w:cs="Arial"/>
          <w:sz w:val="22"/>
          <w:szCs w:val="22"/>
        </w:rPr>
      </w:pPr>
      <w:r w:rsidRPr="00D8478A">
        <w:rPr>
          <w:rFonts w:cs="Arial"/>
          <w:sz w:val="22"/>
          <w:szCs w:val="22"/>
        </w:rPr>
        <w:t>The IPA Deakin University SME Research Partnership has been very supportive of policy to develop the venture capital sector in Australia, which we believe to be underdeveloped.  Our policy recommendations can be found in the Small Business White Paper</w:t>
      </w:r>
      <w:r w:rsidR="0071163F" w:rsidRPr="00D8478A">
        <w:rPr>
          <w:rFonts w:cs="Arial"/>
          <w:sz w:val="22"/>
          <w:szCs w:val="22"/>
        </w:rPr>
        <w:t xml:space="preserve"> launched in 2015</w:t>
      </w:r>
      <w:r w:rsidRPr="00D8478A">
        <w:rPr>
          <w:rFonts w:cs="Arial"/>
          <w:sz w:val="22"/>
          <w:szCs w:val="22"/>
        </w:rPr>
        <w:t xml:space="preserve">, </w:t>
      </w:r>
    </w:p>
    <w:p w14:paraId="7A5D72DA" w14:textId="66E1F350" w:rsidR="008062F2" w:rsidRPr="00D8478A" w:rsidRDefault="00C76C26" w:rsidP="000E50D0">
      <w:pPr>
        <w:jc w:val="both"/>
        <w:rPr>
          <w:rFonts w:cs="Arial"/>
          <w:sz w:val="22"/>
          <w:szCs w:val="22"/>
        </w:rPr>
      </w:pPr>
      <w:hyperlink r:id="rId13" w:history="1">
        <w:r w:rsidRPr="00D8478A">
          <w:rPr>
            <w:rStyle w:val="Hyperlink"/>
            <w:rFonts w:cs="Arial"/>
            <w:sz w:val="22"/>
            <w:szCs w:val="22"/>
          </w:rPr>
          <w:t>https://www.publicaccountants.org.au/whitepaper</w:t>
        </w:r>
      </w:hyperlink>
    </w:p>
    <w:p w14:paraId="069CBA7E" w14:textId="332833EE" w:rsidR="00C76C26" w:rsidRPr="00D8478A" w:rsidRDefault="00215357" w:rsidP="000E50D0">
      <w:pPr>
        <w:jc w:val="both"/>
        <w:rPr>
          <w:rFonts w:cs="Arial"/>
          <w:sz w:val="22"/>
          <w:szCs w:val="22"/>
        </w:rPr>
      </w:pPr>
      <w:r w:rsidRPr="00D8478A">
        <w:rPr>
          <w:rFonts w:cs="Arial"/>
          <w:sz w:val="22"/>
          <w:szCs w:val="22"/>
        </w:rPr>
        <w:t xml:space="preserve">In order to assess which activities may be considered ‘ineligible’ we have </w:t>
      </w:r>
      <w:r w:rsidR="0071163F" w:rsidRPr="00D8478A">
        <w:rPr>
          <w:rFonts w:cs="Arial"/>
          <w:sz w:val="22"/>
          <w:szCs w:val="22"/>
        </w:rPr>
        <w:t>compare</w:t>
      </w:r>
      <w:r w:rsidRPr="00D8478A">
        <w:rPr>
          <w:rFonts w:cs="Arial"/>
          <w:sz w:val="22"/>
          <w:szCs w:val="22"/>
        </w:rPr>
        <w:t>d</w:t>
      </w:r>
      <w:r w:rsidR="0071163F" w:rsidRPr="00D8478A">
        <w:rPr>
          <w:rFonts w:cs="Arial"/>
          <w:sz w:val="22"/>
          <w:szCs w:val="22"/>
        </w:rPr>
        <w:t xml:space="preserve"> a selection of definitions and activities of </w:t>
      </w:r>
      <w:proofErr w:type="spellStart"/>
      <w:r w:rsidR="0071163F" w:rsidRPr="00D8478A">
        <w:rPr>
          <w:rFonts w:cs="Arial"/>
          <w:sz w:val="22"/>
          <w:szCs w:val="22"/>
        </w:rPr>
        <w:t>FinTech</w:t>
      </w:r>
      <w:proofErr w:type="spellEnd"/>
      <w:r w:rsidR="0071163F" w:rsidRPr="00D8478A">
        <w:rPr>
          <w:rFonts w:cs="Arial"/>
          <w:sz w:val="22"/>
          <w:szCs w:val="22"/>
        </w:rPr>
        <w:t xml:space="preserve"> from various jurisdictions around the world.</w:t>
      </w:r>
    </w:p>
    <w:p w14:paraId="5BC4807D" w14:textId="4169E6EF" w:rsidR="00215357" w:rsidRPr="00D8478A" w:rsidRDefault="00215357" w:rsidP="000E50D0">
      <w:pPr>
        <w:jc w:val="both"/>
        <w:rPr>
          <w:sz w:val="22"/>
          <w:szCs w:val="22"/>
        </w:rPr>
      </w:pPr>
      <w:r w:rsidRPr="00D8478A">
        <w:rPr>
          <w:sz w:val="22"/>
          <w:szCs w:val="22"/>
        </w:rPr>
        <w:t>Our submission provides recommendations on modifications that should be made to the definition of ‘ineligible activities’</w:t>
      </w:r>
      <w:r w:rsidR="000E50D0">
        <w:rPr>
          <w:sz w:val="22"/>
          <w:szCs w:val="22"/>
        </w:rPr>
        <w:t xml:space="preserve"> in the </w:t>
      </w:r>
      <w:r w:rsidR="000E50D0" w:rsidRPr="000E50D0">
        <w:rPr>
          <w:i/>
          <w:sz w:val="22"/>
          <w:szCs w:val="22"/>
        </w:rPr>
        <w:t>Income Tax Assessment Act 1997</w:t>
      </w:r>
      <w:r w:rsidRPr="00D8478A">
        <w:rPr>
          <w:sz w:val="22"/>
          <w:szCs w:val="22"/>
        </w:rPr>
        <w:t xml:space="preserve">.  This will have the effect of </w:t>
      </w:r>
      <w:r w:rsidR="000E50D0">
        <w:rPr>
          <w:sz w:val="22"/>
          <w:szCs w:val="22"/>
        </w:rPr>
        <w:t xml:space="preserve">capturing </w:t>
      </w:r>
      <w:r w:rsidRPr="00D8478A">
        <w:rPr>
          <w:sz w:val="22"/>
          <w:szCs w:val="22"/>
        </w:rPr>
        <w:t xml:space="preserve">a broader range of financial activities which have been impacted by the application of technology.  </w:t>
      </w:r>
    </w:p>
    <w:p w14:paraId="44056571" w14:textId="16CD342C" w:rsidR="00D8478A" w:rsidRPr="00D8478A" w:rsidRDefault="0071163F" w:rsidP="000E50D0">
      <w:pPr>
        <w:jc w:val="both"/>
        <w:rPr>
          <w:sz w:val="22"/>
          <w:szCs w:val="22"/>
        </w:rPr>
      </w:pPr>
      <w:r w:rsidRPr="00D8478A">
        <w:rPr>
          <w:sz w:val="22"/>
          <w:szCs w:val="22"/>
        </w:rPr>
        <w:t xml:space="preserve">Accordingly, this range of </w:t>
      </w:r>
      <w:proofErr w:type="spellStart"/>
      <w:r w:rsidRPr="00D8478A">
        <w:rPr>
          <w:sz w:val="22"/>
          <w:szCs w:val="22"/>
        </w:rPr>
        <w:t>FinTech</w:t>
      </w:r>
      <w:proofErr w:type="spellEnd"/>
      <w:r w:rsidRPr="00D8478A">
        <w:rPr>
          <w:sz w:val="22"/>
          <w:szCs w:val="22"/>
        </w:rPr>
        <w:t xml:space="preserve"> activities (see Appendix B) suggest that the ineligible activities for venture capital investment currently listed in Section 118.425 of the </w:t>
      </w:r>
      <w:r w:rsidRPr="00D8478A">
        <w:rPr>
          <w:i/>
          <w:sz w:val="22"/>
          <w:szCs w:val="22"/>
        </w:rPr>
        <w:t>Income Tax Assessment Act 1997</w:t>
      </w:r>
      <w:r w:rsidRPr="00D8478A">
        <w:rPr>
          <w:sz w:val="22"/>
          <w:szCs w:val="22"/>
        </w:rPr>
        <w:t xml:space="preserve"> is out of date</w:t>
      </w:r>
      <w:r w:rsidR="00215357" w:rsidRPr="00D8478A">
        <w:rPr>
          <w:sz w:val="22"/>
          <w:szCs w:val="22"/>
        </w:rPr>
        <w:t xml:space="preserve">.  Appropriate amendments will ensure that the legislation reflects market developments and Government policy to encourage venture capital </w:t>
      </w:r>
      <w:r w:rsidR="000E50D0">
        <w:rPr>
          <w:sz w:val="22"/>
          <w:szCs w:val="22"/>
        </w:rPr>
        <w:t xml:space="preserve">investment </w:t>
      </w:r>
      <w:bookmarkStart w:id="5" w:name="_GoBack"/>
      <w:bookmarkEnd w:id="5"/>
      <w:r w:rsidR="00215357" w:rsidRPr="00D8478A">
        <w:rPr>
          <w:sz w:val="22"/>
          <w:szCs w:val="22"/>
        </w:rPr>
        <w:t xml:space="preserve">in the </w:t>
      </w:r>
      <w:proofErr w:type="spellStart"/>
      <w:r w:rsidR="00215357" w:rsidRPr="00D8478A">
        <w:rPr>
          <w:sz w:val="22"/>
          <w:szCs w:val="22"/>
        </w:rPr>
        <w:t>FinTech</w:t>
      </w:r>
      <w:proofErr w:type="spellEnd"/>
      <w:r w:rsidR="00215357" w:rsidRPr="00D8478A">
        <w:rPr>
          <w:sz w:val="22"/>
          <w:szCs w:val="22"/>
        </w:rPr>
        <w:t xml:space="preserve"> sector.  </w:t>
      </w:r>
    </w:p>
    <w:p w14:paraId="30FE60A8" w14:textId="77777777" w:rsidR="00D8478A" w:rsidRPr="00D8478A" w:rsidRDefault="00D8478A" w:rsidP="000E50D0">
      <w:pPr>
        <w:jc w:val="both"/>
        <w:rPr>
          <w:sz w:val="22"/>
          <w:szCs w:val="22"/>
        </w:rPr>
      </w:pPr>
      <w:r w:rsidRPr="00D8478A">
        <w:rPr>
          <w:sz w:val="22"/>
          <w:szCs w:val="22"/>
        </w:rPr>
        <w:t xml:space="preserve">If you would like further information or to discuss any aspect of our submission then please don’t hesitate to contact Vicki Stylianou, on either </w:t>
      </w:r>
      <w:hyperlink r:id="rId14" w:history="1">
        <w:r w:rsidRPr="00D8478A">
          <w:rPr>
            <w:rStyle w:val="Hyperlink"/>
            <w:sz w:val="22"/>
            <w:szCs w:val="22"/>
          </w:rPr>
          <w:t>vicki.stylianou@publicaccountants.org.au</w:t>
        </w:r>
      </w:hyperlink>
      <w:r w:rsidRPr="00D8478A">
        <w:rPr>
          <w:sz w:val="22"/>
          <w:szCs w:val="22"/>
        </w:rPr>
        <w:t xml:space="preserve"> or on 0419 942 733.</w:t>
      </w:r>
    </w:p>
    <w:p w14:paraId="7F59A340" w14:textId="77777777" w:rsidR="00D8478A" w:rsidRPr="00D8478A" w:rsidRDefault="00D8478A">
      <w:pPr>
        <w:rPr>
          <w:sz w:val="22"/>
          <w:szCs w:val="22"/>
        </w:rPr>
      </w:pPr>
      <w:r w:rsidRPr="00D8478A">
        <w:rPr>
          <w:sz w:val="22"/>
          <w:szCs w:val="22"/>
        </w:rPr>
        <w:t>Yours faithfully</w:t>
      </w:r>
    </w:p>
    <w:p w14:paraId="16BF6F82" w14:textId="61BFC769" w:rsidR="00D8478A" w:rsidRDefault="000E50D0">
      <w:pPr>
        <w:rPr>
          <w:sz w:val="22"/>
          <w:szCs w:val="22"/>
        </w:rPr>
      </w:pPr>
      <w:r w:rsidRPr="000E50D0">
        <w:rPr>
          <w:noProof/>
          <w:sz w:val="22"/>
          <w:szCs w:val="22"/>
        </w:rPr>
        <w:drawing>
          <wp:inline distT="0" distB="0" distL="0" distR="0" wp14:anchorId="13270661" wp14:editId="2C8199BA">
            <wp:extent cx="1247775" cy="482095"/>
            <wp:effectExtent l="0" t="0" r="0" b="0"/>
            <wp:docPr id="1" name="Picture 1" descr="C:\Users\vicki.stylianou\Desktop\Vicki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stylianou\Desktop\VickiSi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603" cy="487051"/>
                    </a:xfrm>
                    <a:prstGeom prst="rect">
                      <a:avLst/>
                    </a:prstGeom>
                    <a:noFill/>
                    <a:ln>
                      <a:noFill/>
                    </a:ln>
                  </pic:spPr>
                </pic:pic>
              </a:graphicData>
            </a:graphic>
          </wp:inline>
        </w:drawing>
      </w:r>
    </w:p>
    <w:p w14:paraId="49258B85" w14:textId="77777777" w:rsidR="00D8478A" w:rsidRPr="00D8478A" w:rsidRDefault="00D8478A" w:rsidP="00D8478A">
      <w:pPr>
        <w:spacing w:after="0"/>
        <w:rPr>
          <w:sz w:val="22"/>
          <w:szCs w:val="22"/>
        </w:rPr>
      </w:pPr>
      <w:r w:rsidRPr="00D8478A">
        <w:rPr>
          <w:sz w:val="22"/>
          <w:szCs w:val="22"/>
        </w:rPr>
        <w:t>Vicki Stylianou</w:t>
      </w:r>
    </w:p>
    <w:p w14:paraId="05403189" w14:textId="2C5D76E1" w:rsidR="00C76C26" w:rsidRPr="00D8478A" w:rsidRDefault="00D8478A" w:rsidP="00D8478A">
      <w:pPr>
        <w:spacing w:after="0"/>
        <w:rPr>
          <w:rFonts w:cs="Arial"/>
          <w:sz w:val="22"/>
          <w:szCs w:val="22"/>
        </w:rPr>
      </w:pPr>
      <w:r w:rsidRPr="00D8478A">
        <w:rPr>
          <w:sz w:val="22"/>
          <w:szCs w:val="22"/>
        </w:rPr>
        <w:t xml:space="preserve">IPA Executive General Manager, Advocacy &amp; Technical </w:t>
      </w:r>
      <w:r w:rsidR="00215357" w:rsidRPr="00D8478A">
        <w:rPr>
          <w:sz w:val="22"/>
          <w:szCs w:val="22"/>
        </w:rPr>
        <w:t xml:space="preserve"> </w:t>
      </w:r>
    </w:p>
    <w:p w14:paraId="2F28A6B0" w14:textId="175D8900" w:rsidR="001835DA" w:rsidRPr="00D8478A" w:rsidRDefault="001835DA">
      <w:pPr>
        <w:rPr>
          <w:rFonts w:ascii="Arial" w:hAnsi="Arial" w:cs="Arial"/>
          <w:b/>
          <w:sz w:val="22"/>
          <w:szCs w:val="22"/>
        </w:rPr>
      </w:pPr>
      <w:r w:rsidRPr="00D8478A">
        <w:rPr>
          <w:rFonts w:ascii="Arial" w:hAnsi="Arial" w:cs="Arial"/>
          <w:b/>
          <w:sz w:val="22"/>
          <w:szCs w:val="22"/>
        </w:rPr>
        <w:br w:type="page"/>
      </w:r>
    </w:p>
    <w:p w14:paraId="01FBF7F4" w14:textId="3216C8F8" w:rsidR="0080229E" w:rsidRPr="009A3C95" w:rsidRDefault="0080229E" w:rsidP="00055F6B">
      <w:pPr>
        <w:rPr>
          <w:rFonts w:ascii="Arial" w:hAnsi="Arial" w:cs="Arial"/>
          <w:b/>
          <w:sz w:val="28"/>
          <w:szCs w:val="28"/>
        </w:rPr>
      </w:pPr>
      <w:r w:rsidRPr="009A3C95">
        <w:rPr>
          <w:rFonts w:ascii="Arial" w:hAnsi="Arial" w:cs="Arial"/>
          <w:b/>
          <w:sz w:val="28"/>
          <w:szCs w:val="28"/>
        </w:rPr>
        <w:t>Table of Contents</w:t>
      </w:r>
    </w:p>
    <w:p w14:paraId="3A64015D" w14:textId="01D90D98" w:rsidR="0080229E" w:rsidRDefault="00C90346" w:rsidP="00C90346">
      <w:pPr>
        <w:pStyle w:val="TOC1"/>
        <w:tabs>
          <w:tab w:val="clear" w:pos="9054"/>
          <w:tab w:val="left" w:pos="5295"/>
        </w:tabs>
      </w:pPr>
      <w:r>
        <w:tab/>
      </w:r>
    </w:p>
    <w:p w14:paraId="29952FB2" w14:textId="77777777" w:rsidR="0080229E" w:rsidRPr="007C593F" w:rsidRDefault="0080229E" w:rsidP="0080229E">
      <w:r>
        <w:rPr>
          <w:rFonts w:ascii="Book Antiqua" w:hAnsi="Book Antiqua" w:cs="Book Antiqua"/>
          <w:color w:val="000000"/>
          <w:sz w:val="20"/>
          <w:szCs w:val="20"/>
        </w:rPr>
        <w:fldChar w:fldCharType="begin"/>
      </w:r>
      <w:r>
        <w:rPr>
          <w:rFonts w:ascii="Book Antiqua" w:hAnsi="Book Antiqua" w:cs="Book Antiqua"/>
          <w:color w:val="000000"/>
        </w:rPr>
        <w:instrText xml:space="preserve"> TOC \h \z \t "IPA Heading,1" </w:instrText>
      </w:r>
      <w:r>
        <w:rPr>
          <w:rFonts w:ascii="Book Antiqua" w:hAnsi="Book Antiqua" w:cs="Book Antiqua"/>
          <w:color w:val="000000"/>
          <w:sz w:val="20"/>
          <w:szCs w:val="20"/>
        </w:rPr>
        <w:fldChar w:fldCharType="separate"/>
      </w:r>
    </w:p>
    <w:p w14:paraId="5B538126" w14:textId="422EC933" w:rsidR="0080229E" w:rsidRPr="00C90346" w:rsidRDefault="0080229E" w:rsidP="009B046E">
      <w:pPr>
        <w:pStyle w:val="TOC1"/>
        <w:rPr>
          <w:i/>
        </w:rPr>
      </w:pPr>
      <w:r w:rsidRPr="009B046E">
        <w:t xml:space="preserve"> </w:t>
      </w:r>
      <w:r w:rsidR="00AA4986" w:rsidRPr="009B046E">
        <w:t xml:space="preserve">Changing the Criteria of ‘Ineligible Activities’ in the </w:t>
      </w:r>
      <w:r w:rsidR="00AA4986" w:rsidRPr="00C90346">
        <w:rPr>
          <w:i/>
        </w:rPr>
        <w:t>Income Tax Assessment Act 1997</w:t>
      </w:r>
    </w:p>
    <w:p w14:paraId="43252828" w14:textId="77777777" w:rsidR="00AA4986" w:rsidRPr="00AA4986" w:rsidRDefault="00AA4986" w:rsidP="00AA4986"/>
    <w:p w14:paraId="2D8E8591" w14:textId="15A6861C" w:rsidR="0080229E" w:rsidRPr="00AA4986" w:rsidRDefault="00AA4986" w:rsidP="0080229E">
      <w:pPr>
        <w:pStyle w:val="ListParagraph"/>
        <w:numPr>
          <w:ilvl w:val="0"/>
          <w:numId w:val="26"/>
        </w:numPr>
        <w:rPr>
          <w:sz w:val="24"/>
          <w:szCs w:val="24"/>
        </w:rPr>
      </w:pPr>
      <w:r w:rsidRPr="00AA4986">
        <w:rPr>
          <w:sz w:val="24"/>
          <w:szCs w:val="24"/>
        </w:rPr>
        <w:t>Background</w:t>
      </w:r>
      <w:r w:rsidR="0080229E" w:rsidRPr="00AA4986">
        <w:rPr>
          <w:sz w:val="24"/>
          <w:szCs w:val="24"/>
        </w:rPr>
        <w:t xml:space="preserve">                                    </w:t>
      </w:r>
      <w:r w:rsidR="0080229E" w:rsidRPr="00AA4986">
        <w:rPr>
          <w:sz w:val="24"/>
          <w:szCs w:val="24"/>
        </w:rPr>
        <w:tab/>
      </w:r>
      <w:r w:rsidR="0080229E" w:rsidRPr="00AA4986">
        <w:rPr>
          <w:sz w:val="24"/>
          <w:szCs w:val="24"/>
        </w:rPr>
        <w:tab/>
      </w:r>
      <w:r w:rsidR="0080229E" w:rsidRPr="00AA4986">
        <w:rPr>
          <w:sz w:val="24"/>
          <w:szCs w:val="24"/>
        </w:rPr>
        <w:tab/>
      </w:r>
      <w:r w:rsidR="0080229E" w:rsidRPr="00AA4986">
        <w:rPr>
          <w:sz w:val="24"/>
          <w:szCs w:val="24"/>
        </w:rPr>
        <w:tab/>
      </w:r>
      <w:r w:rsidR="0080229E" w:rsidRPr="00AA4986">
        <w:rPr>
          <w:sz w:val="24"/>
          <w:szCs w:val="24"/>
        </w:rPr>
        <w:tab/>
      </w:r>
      <w:r w:rsidR="0080229E" w:rsidRPr="00AA4986">
        <w:rPr>
          <w:sz w:val="24"/>
          <w:szCs w:val="24"/>
        </w:rPr>
        <w:tab/>
        <w:t>4</w:t>
      </w:r>
    </w:p>
    <w:p w14:paraId="4FA6E1B1" w14:textId="77777777" w:rsidR="0080229E" w:rsidRPr="00AA4986" w:rsidRDefault="0080229E" w:rsidP="0080229E">
      <w:pPr>
        <w:pStyle w:val="ListParagraph"/>
        <w:rPr>
          <w:sz w:val="24"/>
          <w:szCs w:val="24"/>
        </w:rPr>
      </w:pPr>
    </w:p>
    <w:p w14:paraId="7C893A81" w14:textId="6745B9F2" w:rsidR="00AA4986" w:rsidRPr="00AA4986" w:rsidRDefault="00AA4986" w:rsidP="00AA4986">
      <w:pPr>
        <w:pStyle w:val="ListParagraph"/>
        <w:numPr>
          <w:ilvl w:val="0"/>
          <w:numId w:val="26"/>
        </w:numPr>
        <w:rPr>
          <w:sz w:val="24"/>
          <w:szCs w:val="24"/>
        </w:rPr>
      </w:pPr>
      <w:r w:rsidRPr="00AA4986">
        <w:rPr>
          <w:sz w:val="24"/>
          <w:szCs w:val="24"/>
        </w:rPr>
        <w:t>What Constitutes Financial Technology: Towards a Definition of FinTech</w:t>
      </w:r>
      <w:r w:rsidRPr="00AA4986">
        <w:rPr>
          <w:sz w:val="24"/>
          <w:szCs w:val="24"/>
        </w:rPr>
        <w:tab/>
        <w:t>5</w:t>
      </w:r>
    </w:p>
    <w:p w14:paraId="78FB5DEA" w14:textId="77777777" w:rsidR="00AA4986" w:rsidRPr="00AA4986" w:rsidRDefault="00AA4986" w:rsidP="00AA4986">
      <w:pPr>
        <w:rPr>
          <w:sz w:val="24"/>
          <w:szCs w:val="24"/>
        </w:rPr>
      </w:pPr>
    </w:p>
    <w:p w14:paraId="266F6BC5" w14:textId="77777777" w:rsidR="009B046E" w:rsidRDefault="0080229E" w:rsidP="0080229E">
      <w:pPr>
        <w:rPr>
          <w:sz w:val="24"/>
          <w:szCs w:val="24"/>
        </w:rPr>
      </w:pPr>
      <w:r w:rsidRPr="00AA4986">
        <w:rPr>
          <w:sz w:val="24"/>
          <w:szCs w:val="24"/>
        </w:rPr>
        <w:t xml:space="preserve">      </w:t>
      </w:r>
      <w:r w:rsidR="00AA4986" w:rsidRPr="00AA4986">
        <w:rPr>
          <w:sz w:val="24"/>
          <w:szCs w:val="24"/>
        </w:rPr>
        <w:t xml:space="preserve"> 3.</w:t>
      </w:r>
      <w:r w:rsidR="00AA4986" w:rsidRPr="00AA4986">
        <w:rPr>
          <w:sz w:val="24"/>
          <w:szCs w:val="24"/>
        </w:rPr>
        <w:tab/>
        <w:t xml:space="preserve">Ineligible Activities in the </w:t>
      </w:r>
      <w:r w:rsidR="00AA4986" w:rsidRPr="00284997">
        <w:rPr>
          <w:i/>
          <w:sz w:val="24"/>
          <w:szCs w:val="24"/>
        </w:rPr>
        <w:t>Income Tax Assessment Act 1997</w:t>
      </w:r>
      <w:r w:rsidRPr="00AA4986">
        <w:rPr>
          <w:sz w:val="24"/>
          <w:szCs w:val="24"/>
        </w:rPr>
        <w:tab/>
      </w:r>
      <w:r w:rsidR="00AA4986" w:rsidRPr="00AA4986">
        <w:rPr>
          <w:sz w:val="24"/>
          <w:szCs w:val="24"/>
        </w:rPr>
        <w:tab/>
      </w:r>
      <w:r w:rsidR="00AA4986" w:rsidRPr="00AA4986">
        <w:rPr>
          <w:sz w:val="24"/>
          <w:szCs w:val="24"/>
        </w:rPr>
        <w:tab/>
        <w:t>7</w:t>
      </w:r>
      <w:r w:rsidRPr="00AA4986">
        <w:rPr>
          <w:sz w:val="24"/>
          <w:szCs w:val="24"/>
        </w:rPr>
        <w:tab/>
      </w:r>
    </w:p>
    <w:p w14:paraId="0474773B" w14:textId="77777777" w:rsidR="009B046E" w:rsidRDefault="009B046E" w:rsidP="0080229E">
      <w:pPr>
        <w:rPr>
          <w:sz w:val="24"/>
          <w:szCs w:val="24"/>
        </w:rPr>
      </w:pPr>
    </w:p>
    <w:p w14:paraId="0B594358" w14:textId="76500D52" w:rsidR="009B046E" w:rsidRDefault="009B046E" w:rsidP="009B046E">
      <w:pPr>
        <w:ind w:firstLine="284"/>
      </w:pPr>
      <w:r w:rsidRPr="009B046E">
        <w:t>Appendix A: Comparison of FinTech “Definitions” by Jurisdiction</w:t>
      </w:r>
      <w:r w:rsidRPr="009B046E">
        <w:rPr>
          <w:sz w:val="24"/>
          <w:szCs w:val="24"/>
        </w:rPr>
        <w:t xml:space="preserve"> </w:t>
      </w:r>
      <w:r w:rsidR="0080229E" w:rsidRPr="009B046E">
        <w:tab/>
      </w:r>
      <w:r w:rsidR="0080229E" w:rsidRPr="009B046E">
        <w:tab/>
      </w:r>
      <w:r w:rsidR="0080229E" w:rsidRPr="009B046E">
        <w:tab/>
      </w:r>
      <w:r>
        <w:t>8</w:t>
      </w:r>
    </w:p>
    <w:p w14:paraId="1AA997B9" w14:textId="77777777" w:rsidR="009B046E" w:rsidRDefault="009B046E" w:rsidP="0080229E"/>
    <w:p w14:paraId="772E522B" w14:textId="70807595" w:rsidR="009B046E" w:rsidRPr="009B046E" w:rsidRDefault="009B046E" w:rsidP="009B046E">
      <w:pPr>
        <w:ind w:firstLine="284"/>
      </w:pPr>
      <w:r w:rsidRPr="009B046E">
        <w:t xml:space="preserve">Appendix B: Comparison of FinTech Activities by Jurisdiction </w:t>
      </w:r>
      <w:r>
        <w:tab/>
      </w:r>
      <w:r>
        <w:tab/>
      </w:r>
      <w:r>
        <w:tab/>
      </w:r>
      <w:r>
        <w:tab/>
        <w:t>9</w:t>
      </w:r>
    </w:p>
    <w:p w14:paraId="6455B405" w14:textId="7A794DC6" w:rsidR="0080229E" w:rsidRPr="009B046E" w:rsidRDefault="0080229E" w:rsidP="0080229E">
      <w:r w:rsidRPr="009B046E">
        <w:tab/>
      </w:r>
      <w:r w:rsidRPr="009B046E">
        <w:tab/>
      </w:r>
      <w:r w:rsidRPr="009B046E">
        <w:tab/>
      </w:r>
      <w:r w:rsidRPr="009B046E">
        <w:tab/>
      </w:r>
    </w:p>
    <w:p w14:paraId="0D5FFD4E" w14:textId="77777777" w:rsidR="0080229E" w:rsidRDefault="0080229E" w:rsidP="0080229E">
      <w:pPr>
        <w:rPr>
          <w:rFonts w:ascii="Book Antiqua" w:hAnsi="Book Antiqua" w:cs="Book Antiqua"/>
          <w:color w:val="000000"/>
        </w:rPr>
      </w:pPr>
      <w:r>
        <w:rPr>
          <w:rFonts w:ascii="Book Antiqua" w:hAnsi="Book Antiqua" w:cs="Book Antiqua"/>
          <w:color w:val="000000"/>
        </w:rPr>
        <w:fldChar w:fldCharType="end"/>
      </w:r>
      <w:r>
        <w:rPr>
          <w:rFonts w:ascii="Book Antiqua" w:hAnsi="Book Antiqua" w:cs="Book Antiqua"/>
          <w:color w:val="000000"/>
        </w:rPr>
        <w:br w:type="page"/>
      </w:r>
    </w:p>
    <w:bookmarkEnd w:id="2"/>
    <w:bookmarkEnd w:id="3"/>
    <w:bookmarkEnd w:id="4"/>
    <w:p w14:paraId="6122E1CF" w14:textId="77777777" w:rsidR="00AA4986" w:rsidRPr="00284997" w:rsidRDefault="00AA4986" w:rsidP="00AA4986">
      <w:pPr>
        <w:jc w:val="center"/>
        <w:rPr>
          <w:rFonts w:ascii="Calibri" w:hAnsi="Calibri"/>
          <w:b/>
          <w:i/>
          <w:sz w:val="24"/>
          <w:szCs w:val="24"/>
          <w:shd w:val="clear" w:color="auto" w:fill="FFFFFF"/>
        </w:rPr>
      </w:pPr>
      <w:r w:rsidRPr="007A16FB">
        <w:rPr>
          <w:rFonts w:ascii="Calibri" w:hAnsi="Calibri"/>
          <w:b/>
          <w:sz w:val="24"/>
          <w:szCs w:val="24"/>
          <w:shd w:val="clear" w:color="auto" w:fill="FFFFFF"/>
        </w:rPr>
        <w:lastRenderedPageBreak/>
        <w:t xml:space="preserve">Changing the </w:t>
      </w:r>
      <w:r>
        <w:rPr>
          <w:rFonts w:ascii="Calibri" w:hAnsi="Calibri"/>
          <w:b/>
          <w:sz w:val="24"/>
          <w:szCs w:val="24"/>
          <w:shd w:val="clear" w:color="auto" w:fill="FFFFFF"/>
        </w:rPr>
        <w:t>Criteria</w:t>
      </w:r>
      <w:r w:rsidRPr="007A16FB">
        <w:rPr>
          <w:rFonts w:ascii="Calibri" w:hAnsi="Calibri"/>
          <w:b/>
          <w:sz w:val="24"/>
          <w:szCs w:val="24"/>
          <w:shd w:val="clear" w:color="auto" w:fill="FFFFFF"/>
        </w:rPr>
        <w:t xml:space="preserve"> of</w:t>
      </w:r>
      <w:r>
        <w:rPr>
          <w:rFonts w:ascii="Calibri" w:hAnsi="Calibri"/>
          <w:b/>
          <w:sz w:val="24"/>
          <w:szCs w:val="24"/>
          <w:shd w:val="clear" w:color="auto" w:fill="FFFFFF"/>
        </w:rPr>
        <w:t xml:space="preserve"> ‘Ineligible A</w:t>
      </w:r>
      <w:r w:rsidRPr="007A16FB">
        <w:rPr>
          <w:rFonts w:ascii="Calibri" w:hAnsi="Calibri"/>
          <w:b/>
          <w:sz w:val="24"/>
          <w:szCs w:val="24"/>
          <w:shd w:val="clear" w:color="auto" w:fill="FFFFFF"/>
        </w:rPr>
        <w:t xml:space="preserve">ctivities’ in the </w:t>
      </w:r>
      <w:r w:rsidRPr="00284997">
        <w:rPr>
          <w:rFonts w:ascii="Calibri" w:hAnsi="Calibri"/>
          <w:b/>
          <w:i/>
          <w:sz w:val="24"/>
          <w:szCs w:val="24"/>
          <w:shd w:val="clear" w:color="auto" w:fill="FFFFFF"/>
        </w:rPr>
        <w:t>Income Tax Assessment Act 1997</w:t>
      </w:r>
    </w:p>
    <w:p w14:paraId="123DB3F2" w14:textId="77777777" w:rsidR="00AA4986" w:rsidRDefault="00AA4986" w:rsidP="00AA4986">
      <w:pPr>
        <w:jc w:val="both"/>
        <w:rPr>
          <w:sz w:val="24"/>
          <w:szCs w:val="24"/>
        </w:rPr>
      </w:pPr>
      <w:r>
        <w:rPr>
          <w:sz w:val="24"/>
          <w:szCs w:val="24"/>
        </w:rPr>
        <w:t xml:space="preserve">The </w:t>
      </w:r>
      <w:r w:rsidRPr="004532EB">
        <w:rPr>
          <w:sz w:val="24"/>
          <w:szCs w:val="24"/>
        </w:rPr>
        <w:t>IPA</w:t>
      </w:r>
      <w:r>
        <w:rPr>
          <w:sz w:val="24"/>
          <w:szCs w:val="24"/>
        </w:rPr>
        <w:t xml:space="preserve"> is pleased to provide a submission to Treasury</w:t>
      </w:r>
      <w:r w:rsidRPr="004532EB">
        <w:rPr>
          <w:sz w:val="24"/>
          <w:szCs w:val="24"/>
        </w:rPr>
        <w:t xml:space="preserve"> on its consultation </w:t>
      </w:r>
      <w:r>
        <w:rPr>
          <w:sz w:val="24"/>
          <w:szCs w:val="24"/>
        </w:rPr>
        <w:t>- “</w:t>
      </w:r>
      <w:r>
        <w:rPr>
          <w:i/>
          <w:sz w:val="24"/>
          <w:szCs w:val="24"/>
        </w:rPr>
        <w:t>E</w:t>
      </w:r>
      <w:r w:rsidRPr="00133D9A">
        <w:rPr>
          <w:i/>
          <w:sz w:val="24"/>
          <w:szCs w:val="24"/>
        </w:rPr>
        <w:t>nsuring that venture capital tax concessions are available for investment in startup FinTech, banking and insurance activities</w:t>
      </w:r>
      <w:r>
        <w:rPr>
          <w:i/>
          <w:sz w:val="24"/>
          <w:szCs w:val="24"/>
        </w:rPr>
        <w:t>”</w:t>
      </w:r>
      <w:r>
        <w:rPr>
          <w:sz w:val="24"/>
          <w:szCs w:val="24"/>
        </w:rPr>
        <w:t xml:space="preserve">. Our submission provides some recommendations on modifications that should be made to the </w:t>
      </w:r>
      <w:r w:rsidRPr="00284997">
        <w:rPr>
          <w:sz w:val="24"/>
          <w:szCs w:val="24"/>
        </w:rPr>
        <w:t>Income Tax Assessment Act’s 1997</w:t>
      </w:r>
      <w:r>
        <w:rPr>
          <w:sz w:val="24"/>
          <w:szCs w:val="24"/>
        </w:rPr>
        <w:t xml:space="preserve"> definition of ‘ineligible activities’. </w:t>
      </w:r>
    </w:p>
    <w:p w14:paraId="642CF40C" w14:textId="6035B378" w:rsidR="00AA4986" w:rsidRPr="00AA4986" w:rsidRDefault="00AA4986" w:rsidP="00AA4986">
      <w:pPr>
        <w:pStyle w:val="ListParagraph"/>
        <w:numPr>
          <w:ilvl w:val="0"/>
          <w:numId w:val="27"/>
        </w:numPr>
        <w:jc w:val="both"/>
        <w:rPr>
          <w:b/>
          <w:sz w:val="24"/>
          <w:szCs w:val="24"/>
        </w:rPr>
      </w:pPr>
      <w:r w:rsidRPr="00AA4986">
        <w:rPr>
          <w:b/>
          <w:sz w:val="24"/>
          <w:szCs w:val="24"/>
        </w:rPr>
        <w:t>Background</w:t>
      </w:r>
    </w:p>
    <w:p w14:paraId="2B9B65D9" w14:textId="50B1B64E" w:rsidR="00AA4986" w:rsidRDefault="00AA4986" w:rsidP="00AA4986">
      <w:pPr>
        <w:pStyle w:val="ListParagraph"/>
        <w:ind w:left="0"/>
        <w:jc w:val="both"/>
        <w:rPr>
          <w:sz w:val="24"/>
          <w:szCs w:val="24"/>
        </w:rPr>
      </w:pPr>
      <w:r>
        <w:rPr>
          <w:sz w:val="24"/>
          <w:szCs w:val="24"/>
        </w:rPr>
        <w:t>According to</w:t>
      </w:r>
      <w:r w:rsidRPr="004B3CD6">
        <w:rPr>
          <w:sz w:val="24"/>
          <w:szCs w:val="24"/>
        </w:rPr>
        <w:t xml:space="preserve"> the </w:t>
      </w:r>
      <w:r>
        <w:rPr>
          <w:sz w:val="24"/>
          <w:szCs w:val="24"/>
        </w:rPr>
        <w:t>Australian Private Equity &amp; Venture Capital Association Limited</w:t>
      </w:r>
      <w:r w:rsidRPr="004B3CD6">
        <w:rPr>
          <w:sz w:val="24"/>
          <w:szCs w:val="24"/>
        </w:rPr>
        <w:t xml:space="preserve"> 2015 Yearbook</w:t>
      </w:r>
      <w:r>
        <w:rPr>
          <w:rStyle w:val="FootnoteReference"/>
          <w:sz w:val="24"/>
          <w:szCs w:val="24"/>
        </w:rPr>
        <w:footnoteReference w:id="1"/>
      </w:r>
      <w:r w:rsidRPr="004B3CD6">
        <w:rPr>
          <w:sz w:val="24"/>
          <w:szCs w:val="24"/>
        </w:rPr>
        <w:t xml:space="preserve">, total venture capital investment activity </w:t>
      </w:r>
      <w:r>
        <w:rPr>
          <w:sz w:val="24"/>
          <w:szCs w:val="24"/>
        </w:rPr>
        <w:t>in Australia decreased by</w:t>
      </w:r>
      <w:r w:rsidRPr="004B3CD6">
        <w:rPr>
          <w:sz w:val="24"/>
          <w:szCs w:val="24"/>
        </w:rPr>
        <w:t xml:space="preserve"> 58.18% </w:t>
      </w:r>
      <w:r>
        <w:rPr>
          <w:rStyle w:val="FootnoteReference"/>
          <w:sz w:val="24"/>
          <w:szCs w:val="24"/>
        </w:rPr>
        <w:footnoteReference w:id="2"/>
      </w:r>
      <w:r>
        <w:rPr>
          <w:sz w:val="24"/>
          <w:szCs w:val="24"/>
        </w:rPr>
        <w:t>to $223.89</w:t>
      </w:r>
      <w:r w:rsidRPr="004B3CD6">
        <w:rPr>
          <w:sz w:val="24"/>
          <w:szCs w:val="24"/>
        </w:rPr>
        <w:t>m</w:t>
      </w:r>
      <w:r>
        <w:rPr>
          <w:sz w:val="24"/>
          <w:szCs w:val="24"/>
        </w:rPr>
        <w:t xml:space="preserve"> in the 2015 financial year from</w:t>
      </w:r>
      <w:r w:rsidRPr="004B3CD6">
        <w:rPr>
          <w:sz w:val="24"/>
          <w:szCs w:val="24"/>
        </w:rPr>
        <w:t xml:space="preserve"> </w:t>
      </w:r>
      <w:r>
        <w:rPr>
          <w:sz w:val="24"/>
          <w:szCs w:val="24"/>
        </w:rPr>
        <w:t xml:space="preserve">$535.35 million in the previous financial year, indicating that </w:t>
      </w:r>
      <w:r w:rsidRPr="004B3CD6">
        <w:rPr>
          <w:sz w:val="24"/>
          <w:szCs w:val="24"/>
        </w:rPr>
        <w:t>venture capital inves</w:t>
      </w:r>
      <w:r>
        <w:rPr>
          <w:sz w:val="24"/>
          <w:szCs w:val="24"/>
        </w:rPr>
        <w:t>tment has become less attractive</w:t>
      </w:r>
      <w:r w:rsidRPr="00F33BC3">
        <w:rPr>
          <w:sz w:val="24"/>
          <w:szCs w:val="24"/>
        </w:rPr>
        <w:t xml:space="preserve"> </w:t>
      </w:r>
      <w:r w:rsidRPr="004B3CD6">
        <w:rPr>
          <w:sz w:val="24"/>
          <w:szCs w:val="24"/>
        </w:rPr>
        <w:t xml:space="preserve">in Australia. </w:t>
      </w:r>
      <w:r>
        <w:rPr>
          <w:sz w:val="24"/>
          <w:szCs w:val="24"/>
        </w:rPr>
        <w:t xml:space="preserve">This significant decrease in venture capital investment provides some vindication to the </w:t>
      </w:r>
      <w:r w:rsidRPr="004B3CD6">
        <w:rPr>
          <w:sz w:val="24"/>
          <w:szCs w:val="24"/>
        </w:rPr>
        <w:t>Government</w:t>
      </w:r>
      <w:r>
        <w:rPr>
          <w:sz w:val="24"/>
          <w:szCs w:val="24"/>
        </w:rPr>
        <w:t xml:space="preserve">’s introduction of </w:t>
      </w:r>
      <w:r w:rsidRPr="004C4D4A">
        <w:rPr>
          <w:sz w:val="24"/>
          <w:szCs w:val="24"/>
        </w:rPr>
        <w:t>venture capital tax concession</w:t>
      </w:r>
      <w:r>
        <w:rPr>
          <w:sz w:val="24"/>
          <w:szCs w:val="24"/>
        </w:rPr>
        <w:t>s for startups</w:t>
      </w:r>
      <w:r w:rsidRPr="004C4D4A">
        <w:rPr>
          <w:sz w:val="24"/>
          <w:szCs w:val="24"/>
        </w:rPr>
        <w:t xml:space="preserve"> in FinTech</w:t>
      </w:r>
      <w:r>
        <w:rPr>
          <w:sz w:val="24"/>
          <w:szCs w:val="24"/>
        </w:rPr>
        <w:t xml:space="preserve">, particularly </w:t>
      </w:r>
      <w:r w:rsidRPr="004C4D4A">
        <w:rPr>
          <w:sz w:val="24"/>
          <w:szCs w:val="24"/>
        </w:rPr>
        <w:t>startups in insurance and finance related activities</w:t>
      </w:r>
      <w:r>
        <w:rPr>
          <w:sz w:val="24"/>
          <w:szCs w:val="24"/>
        </w:rPr>
        <w:t xml:space="preserve">, from 1 July 2016 as a means </w:t>
      </w:r>
      <w:r w:rsidR="00284997">
        <w:rPr>
          <w:sz w:val="24"/>
          <w:szCs w:val="24"/>
        </w:rPr>
        <w:t>of</w:t>
      </w:r>
      <w:r>
        <w:rPr>
          <w:sz w:val="24"/>
          <w:szCs w:val="24"/>
        </w:rPr>
        <w:t xml:space="preserve"> stimulating innovation and growth in these sectors and by making venture capital investment more responsive and</w:t>
      </w:r>
      <w:r w:rsidRPr="004B3CD6">
        <w:rPr>
          <w:sz w:val="24"/>
          <w:szCs w:val="24"/>
        </w:rPr>
        <w:t xml:space="preserve"> flexible</w:t>
      </w:r>
      <w:r>
        <w:rPr>
          <w:sz w:val="24"/>
          <w:szCs w:val="24"/>
        </w:rPr>
        <w:t>.</w:t>
      </w:r>
      <w:r w:rsidRPr="004B3CD6">
        <w:rPr>
          <w:sz w:val="24"/>
          <w:szCs w:val="24"/>
        </w:rPr>
        <w:t xml:space="preserve"> </w:t>
      </w:r>
    </w:p>
    <w:p w14:paraId="039F087B" w14:textId="77777777" w:rsidR="00AA4986" w:rsidRDefault="00AA4986" w:rsidP="00AA4986">
      <w:pPr>
        <w:pStyle w:val="ListParagraph"/>
        <w:ind w:left="0" w:firstLine="720"/>
        <w:jc w:val="both"/>
        <w:rPr>
          <w:sz w:val="24"/>
          <w:szCs w:val="24"/>
        </w:rPr>
      </w:pPr>
      <w:r>
        <w:rPr>
          <w:sz w:val="24"/>
          <w:szCs w:val="24"/>
        </w:rPr>
        <w:t>V</w:t>
      </w:r>
      <w:r w:rsidRPr="00355FB2">
        <w:rPr>
          <w:sz w:val="24"/>
          <w:szCs w:val="24"/>
        </w:rPr>
        <w:t xml:space="preserve">enture capital </w:t>
      </w:r>
      <w:r>
        <w:rPr>
          <w:sz w:val="24"/>
          <w:szCs w:val="24"/>
        </w:rPr>
        <w:t xml:space="preserve">is well </w:t>
      </w:r>
      <w:r w:rsidRPr="00355FB2">
        <w:rPr>
          <w:sz w:val="24"/>
          <w:szCs w:val="24"/>
        </w:rPr>
        <w:t xml:space="preserve">developed in </w:t>
      </w:r>
      <w:r>
        <w:rPr>
          <w:sz w:val="24"/>
          <w:szCs w:val="24"/>
        </w:rPr>
        <w:t xml:space="preserve">some of the world’s </w:t>
      </w:r>
      <w:r w:rsidRPr="00355FB2">
        <w:rPr>
          <w:sz w:val="24"/>
          <w:szCs w:val="24"/>
        </w:rPr>
        <w:t>financial market</w:t>
      </w:r>
      <w:r>
        <w:rPr>
          <w:sz w:val="24"/>
          <w:szCs w:val="24"/>
        </w:rPr>
        <w:t>s, particularly in the US,</w:t>
      </w:r>
      <w:r w:rsidRPr="00355FB2">
        <w:rPr>
          <w:sz w:val="24"/>
          <w:szCs w:val="24"/>
        </w:rPr>
        <w:t xml:space="preserve"> </w:t>
      </w:r>
      <w:r>
        <w:rPr>
          <w:sz w:val="24"/>
          <w:szCs w:val="24"/>
        </w:rPr>
        <w:t xml:space="preserve">and is an important source of </w:t>
      </w:r>
      <w:r w:rsidRPr="00355FB2">
        <w:rPr>
          <w:sz w:val="24"/>
          <w:szCs w:val="24"/>
        </w:rPr>
        <w:t xml:space="preserve">funds </w:t>
      </w:r>
      <w:r>
        <w:rPr>
          <w:sz w:val="24"/>
          <w:szCs w:val="24"/>
        </w:rPr>
        <w:t>for dynamically growing</w:t>
      </w:r>
      <w:r w:rsidRPr="00355FB2">
        <w:rPr>
          <w:sz w:val="24"/>
          <w:szCs w:val="24"/>
        </w:rPr>
        <w:t xml:space="preserve"> small and young firms (Gompers and Lerner 2001)</w:t>
      </w:r>
      <w:r>
        <w:rPr>
          <w:rStyle w:val="FootnoteReference"/>
          <w:sz w:val="24"/>
          <w:szCs w:val="24"/>
        </w:rPr>
        <w:footnoteReference w:id="3"/>
      </w:r>
      <w:r w:rsidRPr="00355FB2">
        <w:rPr>
          <w:sz w:val="24"/>
          <w:szCs w:val="24"/>
        </w:rPr>
        <w:t xml:space="preserve">. </w:t>
      </w:r>
      <w:r>
        <w:rPr>
          <w:sz w:val="24"/>
          <w:szCs w:val="24"/>
        </w:rPr>
        <w:t>Governments around the world view venture capital investment</w:t>
      </w:r>
      <w:r w:rsidRPr="00355FB2">
        <w:rPr>
          <w:sz w:val="24"/>
          <w:szCs w:val="24"/>
        </w:rPr>
        <w:t xml:space="preserve"> </w:t>
      </w:r>
      <w:r>
        <w:rPr>
          <w:sz w:val="24"/>
          <w:szCs w:val="24"/>
        </w:rPr>
        <w:t>as</w:t>
      </w:r>
      <w:r w:rsidRPr="00355FB2">
        <w:rPr>
          <w:sz w:val="24"/>
          <w:szCs w:val="24"/>
        </w:rPr>
        <w:t xml:space="preserve"> </w:t>
      </w:r>
      <w:r>
        <w:rPr>
          <w:sz w:val="24"/>
          <w:szCs w:val="24"/>
        </w:rPr>
        <w:t xml:space="preserve">an important </w:t>
      </w:r>
      <w:r w:rsidRPr="00355FB2">
        <w:rPr>
          <w:sz w:val="24"/>
          <w:szCs w:val="24"/>
        </w:rPr>
        <w:t xml:space="preserve">tool </w:t>
      </w:r>
      <w:r>
        <w:rPr>
          <w:sz w:val="24"/>
          <w:szCs w:val="24"/>
        </w:rPr>
        <w:t>for promoting</w:t>
      </w:r>
      <w:r w:rsidRPr="00355FB2">
        <w:rPr>
          <w:sz w:val="24"/>
          <w:szCs w:val="24"/>
        </w:rPr>
        <w:t xml:space="preserve"> economic </w:t>
      </w:r>
      <w:r>
        <w:rPr>
          <w:sz w:val="24"/>
          <w:szCs w:val="24"/>
        </w:rPr>
        <w:t xml:space="preserve">and industrial </w:t>
      </w:r>
      <w:r w:rsidRPr="00355FB2">
        <w:rPr>
          <w:sz w:val="24"/>
          <w:szCs w:val="24"/>
        </w:rPr>
        <w:t>development (Callagher, Smith, and Ruscoe 2015)</w:t>
      </w:r>
      <w:r w:rsidRPr="00355FB2">
        <w:rPr>
          <w:rStyle w:val="FootnoteReference"/>
          <w:sz w:val="24"/>
          <w:szCs w:val="24"/>
        </w:rPr>
        <w:t xml:space="preserve"> </w:t>
      </w:r>
      <w:r>
        <w:rPr>
          <w:rStyle w:val="FootnoteReference"/>
          <w:sz w:val="24"/>
          <w:szCs w:val="24"/>
        </w:rPr>
        <w:footnoteReference w:id="4"/>
      </w:r>
      <w:r>
        <w:rPr>
          <w:sz w:val="24"/>
          <w:szCs w:val="24"/>
        </w:rPr>
        <w:t xml:space="preserve">. This is because </w:t>
      </w:r>
      <w:r w:rsidRPr="00C02CF1">
        <w:rPr>
          <w:sz w:val="24"/>
          <w:szCs w:val="24"/>
        </w:rPr>
        <w:t>venture capital is widely believed to contribute to th</w:t>
      </w:r>
      <w:r>
        <w:rPr>
          <w:sz w:val="24"/>
          <w:szCs w:val="24"/>
        </w:rPr>
        <w:t>e competitive strength of the US</w:t>
      </w:r>
      <w:r w:rsidRPr="00C02CF1">
        <w:rPr>
          <w:sz w:val="24"/>
          <w:szCs w:val="24"/>
        </w:rPr>
        <w:t xml:space="preserve"> </w:t>
      </w:r>
      <w:r>
        <w:rPr>
          <w:sz w:val="24"/>
          <w:szCs w:val="24"/>
        </w:rPr>
        <w:t>and other economies</w:t>
      </w:r>
      <w:r w:rsidRPr="00C02CF1">
        <w:rPr>
          <w:sz w:val="24"/>
          <w:szCs w:val="24"/>
        </w:rPr>
        <w:t xml:space="preserve"> by promoting the development of innovative start-ups</w:t>
      </w:r>
      <w:r>
        <w:rPr>
          <w:sz w:val="24"/>
          <w:szCs w:val="24"/>
        </w:rPr>
        <w:t xml:space="preserve"> (</w:t>
      </w:r>
      <w:r w:rsidRPr="00355FB2">
        <w:rPr>
          <w:sz w:val="24"/>
          <w:szCs w:val="24"/>
        </w:rPr>
        <w:t>Hellmann</w:t>
      </w:r>
      <w:r>
        <w:rPr>
          <w:sz w:val="24"/>
          <w:szCs w:val="24"/>
        </w:rPr>
        <w:t xml:space="preserve"> and Puri 2000)</w:t>
      </w:r>
      <w:r>
        <w:rPr>
          <w:rStyle w:val="FootnoteReference"/>
          <w:sz w:val="24"/>
          <w:szCs w:val="24"/>
        </w:rPr>
        <w:footnoteReference w:id="5"/>
      </w:r>
      <w:r>
        <w:rPr>
          <w:sz w:val="24"/>
          <w:szCs w:val="24"/>
        </w:rPr>
        <w:t xml:space="preserve">. Empirical research finds venture capital investors are </w:t>
      </w:r>
      <w:r w:rsidRPr="00355FB2">
        <w:rPr>
          <w:sz w:val="24"/>
          <w:szCs w:val="24"/>
        </w:rPr>
        <w:t xml:space="preserve">better able </w:t>
      </w:r>
      <w:r>
        <w:rPr>
          <w:sz w:val="24"/>
          <w:szCs w:val="24"/>
        </w:rPr>
        <w:t xml:space="preserve">to </w:t>
      </w:r>
      <w:r w:rsidRPr="00355FB2">
        <w:rPr>
          <w:sz w:val="24"/>
          <w:szCs w:val="24"/>
        </w:rPr>
        <w:t>manage</w:t>
      </w:r>
      <w:r>
        <w:rPr>
          <w:sz w:val="24"/>
          <w:szCs w:val="24"/>
        </w:rPr>
        <w:t xml:space="preserve"> </w:t>
      </w:r>
      <w:r w:rsidRPr="00355FB2">
        <w:rPr>
          <w:sz w:val="24"/>
          <w:szCs w:val="24"/>
        </w:rPr>
        <w:t xml:space="preserve">risky investments </w:t>
      </w:r>
      <w:r>
        <w:rPr>
          <w:sz w:val="24"/>
          <w:szCs w:val="24"/>
        </w:rPr>
        <w:t xml:space="preserve">compared to other investors as they </w:t>
      </w:r>
      <w:r>
        <w:rPr>
          <w:sz w:val="24"/>
          <w:szCs w:val="24"/>
        </w:rPr>
        <w:lastRenderedPageBreak/>
        <w:t xml:space="preserve">generally have </w:t>
      </w:r>
      <w:r w:rsidRPr="00355FB2">
        <w:rPr>
          <w:sz w:val="24"/>
          <w:szCs w:val="24"/>
        </w:rPr>
        <w:t>specialized knowledge and experien</w:t>
      </w:r>
      <w:r>
        <w:rPr>
          <w:sz w:val="24"/>
          <w:szCs w:val="24"/>
        </w:rPr>
        <w:t xml:space="preserve">ce of </w:t>
      </w:r>
      <w:r w:rsidRPr="00355FB2">
        <w:rPr>
          <w:sz w:val="24"/>
          <w:szCs w:val="24"/>
        </w:rPr>
        <w:t xml:space="preserve">organizational, operational, and industry </w:t>
      </w:r>
      <w:r>
        <w:rPr>
          <w:sz w:val="24"/>
          <w:szCs w:val="24"/>
        </w:rPr>
        <w:t xml:space="preserve">issues related to the firms they are investing in </w:t>
      </w:r>
      <w:r w:rsidRPr="00355FB2">
        <w:rPr>
          <w:sz w:val="24"/>
          <w:szCs w:val="24"/>
        </w:rPr>
        <w:t xml:space="preserve">(Gompers and Lerner 2001; Callagher, Smith, and Ruscoe 2015). </w:t>
      </w:r>
    </w:p>
    <w:p w14:paraId="07151793" w14:textId="44215C55" w:rsidR="00AA4986" w:rsidRPr="00223486" w:rsidRDefault="00AA4986" w:rsidP="00AA4986">
      <w:pPr>
        <w:pStyle w:val="ListParagraph"/>
        <w:ind w:left="0" w:firstLine="720"/>
        <w:jc w:val="both"/>
        <w:rPr>
          <w:sz w:val="24"/>
          <w:szCs w:val="24"/>
        </w:rPr>
      </w:pPr>
      <w:r>
        <w:rPr>
          <w:sz w:val="24"/>
          <w:szCs w:val="24"/>
        </w:rPr>
        <w:t xml:space="preserve">Given the importance of venture capital investment for stimulating innovation and growth in the economy, particularly among startup firms, we are of the view that some modifications are required to the </w:t>
      </w:r>
      <w:r w:rsidRPr="003659FA">
        <w:rPr>
          <w:i/>
          <w:sz w:val="24"/>
          <w:szCs w:val="24"/>
        </w:rPr>
        <w:t>Income Tax Assessment Act 1997</w:t>
      </w:r>
      <w:r>
        <w:rPr>
          <w:rStyle w:val="FootnoteReference"/>
          <w:i/>
          <w:sz w:val="24"/>
          <w:szCs w:val="24"/>
        </w:rPr>
        <w:footnoteReference w:id="6"/>
      </w:r>
      <w:r>
        <w:rPr>
          <w:sz w:val="24"/>
          <w:szCs w:val="24"/>
        </w:rPr>
        <w:t xml:space="preserve">, particularly alterations related to the ineligibility criteria as currently outlined in </w:t>
      </w:r>
      <w:r w:rsidRPr="0096360A">
        <w:rPr>
          <w:i/>
          <w:sz w:val="24"/>
          <w:szCs w:val="24"/>
        </w:rPr>
        <w:t>Section 118.425: Meaning of eligible venture capital investment--investments in companies.</w:t>
      </w:r>
      <w:r>
        <w:rPr>
          <w:sz w:val="24"/>
          <w:szCs w:val="24"/>
        </w:rPr>
        <w:t xml:space="preserve">  The rationale for making changes to the ineligibility criteria is borne out by our synthesis of the different explanations </w:t>
      </w:r>
      <w:r w:rsidR="00814125">
        <w:rPr>
          <w:sz w:val="24"/>
          <w:szCs w:val="24"/>
        </w:rPr>
        <w:t>provided on</w:t>
      </w:r>
      <w:r>
        <w:rPr>
          <w:sz w:val="24"/>
          <w:szCs w:val="24"/>
        </w:rPr>
        <w:t xml:space="preserve"> what comprises FinTech and the various activities that are usually associated with </w:t>
      </w:r>
      <w:r w:rsidRPr="00223486">
        <w:rPr>
          <w:sz w:val="24"/>
          <w:szCs w:val="24"/>
        </w:rPr>
        <w:t xml:space="preserve">FinTech </w:t>
      </w:r>
      <w:r>
        <w:rPr>
          <w:sz w:val="24"/>
          <w:szCs w:val="24"/>
        </w:rPr>
        <w:t>in the banking and financial industries</w:t>
      </w:r>
      <w:r w:rsidRPr="00223486">
        <w:rPr>
          <w:sz w:val="24"/>
          <w:szCs w:val="24"/>
        </w:rPr>
        <w:t xml:space="preserve"> in different countries.</w:t>
      </w:r>
      <w:r>
        <w:rPr>
          <w:sz w:val="24"/>
          <w:szCs w:val="24"/>
        </w:rPr>
        <w:t xml:space="preserve">  As these explanations and activities of FinTech overlap with some of the activities that are currently listed in the ineligibility criteria, it is no longer sensible to exclude these activities from venture capital investment in Australia.</w:t>
      </w:r>
    </w:p>
    <w:p w14:paraId="4F36216B" w14:textId="77777777" w:rsidR="00AA4986" w:rsidRDefault="00AA4986" w:rsidP="00AA4986">
      <w:pPr>
        <w:pStyle w:val="ListParagraph"/>
        <w:ind w:left="0" w:firstLine="426"/>
        <w:jc w:val="both"/>
        <w:rPr>
          <w:sz w:val="24"/>
          <w:szCs w:val="24"/>
        </w:rPr>
      </w:pPr>
    </w:p>
    <w:p w14:paraId="6AACD67E" w14:textId="4840382E" w:rsidR="00AA4986" w:rsidRPr="00AA4986" w:rsidRDefault="00AA4986" w:rsidP="00AA4986">
      <w:pPr>
        <w:pStyle w:val="ListParagraph"/>
        <w:numPr>
          <w:ilvl w:val="0"/>
          <w:numId w:val="27"/>
        </w:numPr>
        <w:jc w:val="both"/>
        <w:rPr>
          <w:b/>
          <w:sz w:val="24"/>
          <w:szCs w:val="24"/>
        </w:rPr>
      </w:pPr>
      <w:r w:rsidRPr="00AA4986">
        <w:rPr>
          <w:b/>
          <w:sz w:val="24"/>
          <w:szCs w:val="24"/>
        </w:rPr>
        <w:t>What Constitutes Financial Technology: Towards a Definition of FinTech</w:t>
      </w:r>
    </w:p>
    <w:p w14:paraId="03AD8AB3" w14:textId="77777777" w:rsidR="00AA4986" w:rsidRDefault="00AA4986" w:rsidP="00AA4986">
      <w:pPr>
        <w:jc w:val="both"/>
        <w:rPr>
          <w:sz w:val="24"/>
          <w:szCs w:val="24"/>
        </w:rPr>
      </w:pPr>
      <w:r>
        <w:rPr>
          <w:sz w:val="24"/>
          <w:szCs w:val="24"/>
        </w:rPr>
        <w:t>A worldwide search of the literature and various public and private sector websites indicates there is some variation to what constitutes Financial Technology (FinTech). This variation also applies to the range of activities that make up FinTech</w:t>
      </w:r>
      <w:r w:rsidRPr="00D83A84">
        <w:rPr>
          <w:sz w:val="24"/>
          <w:szCs w:val="24"/>
        </w:rPr>
        <w:t xml:space="preserve"> </w:t>
      </w:r>
      <w:r>
        <w:rPr>
          <w:sz w:val="24"/>
          <w:szCs w:val="24"/>
        </w:rPr>
        <w:t xml:space="preserve">in the banking and financial services industry. However, these apparent differences are context-specific, suggesting that FinTech is primarily technology-focused, applying a wide range of techniques and innovations in order to significantly transform the banking and financial services sector. </w:t>
      </w:r>
    </w:p>
    <w:p w14:paraId="33AEB039" w14:textId="77777777" w:rsidR="00AA4986" w:rsidRPr="00116CCD" w:rsidRDefault="00AA4986" w:rsidP="00AA4986">
      <w:pPr>
        <w:ind w:firstLine="426"/>
        <w:jc w:val="both"/>
        <w:rPr>
          <w:sz w:val="24"/>
          <w:szCs w:val="24"/>
        </w:rPr>
      </w:pPr>
      <w:r>
        <w:rPr>
          <w:sz w:val="24"/>
          <w:szCs w:val="24"/>
        </w:rPr>
        <w:t xml:space="preserve">In Australia, Treasury refers to FinTech broadly as innovation activities that </w:t>
      </w:r>
      <w:r w:rsidRPr="00116CCD">
        <w:rPr>
          <w:sz w:val="24"/>
          <w:szCs w:val="24"/>
        </w:rPr>
        <w:t>“… stimulat[e] technological innovation so that financial markets and systems can become m</w:t>
      </w:r>
      <w:r>
        <w:rPr>
          <w:sz w:val="24"/>
          <w:szCs w:val="24"/>
        </w:rPr>
        <w:t>ore efficient and consumer focu</w:t>
      </w:r>
      <w:r w:rsidRPr="00116CCD">
        <w:rPr>
          <w:sz w:val="24"/>
          <w:szCs w:val="24"/>
        </w:rPr>
        <w:t>sed’</w:t>
      </w:r>
      <w:r w:rsidRPr="00116CCD">
        <w:rPr>
          <w:rStyle w:val="FootnoteReference"/>
          <w:sz w:val="24"/>
          <w:szCs w:val="24"/>
        </w:rPr>
        <w:footnoteReference w:id="7"/>
      </w:r>
      <w:r w:rsidRPr="00116CCD">
        <w:t>.</w:t>
      </w:r>
      <w:r>
        <w:t xml:space="preserve">  </w:t>
      </w:r>
      <w:r>
        <w:rPr>
          <w:sz w:val="24"/>
          <w:szCs w:val="24"/>
        </w:rPr>
        <w:t>I</w:t>
      </w:r>
      <w:r w:rsidRPr="003F261A">
        <w:rPr>
          <w:sz w:val="24"/>
          <w:szCs w:val="24"/>
        </w:rPr>
        <w:t xml:space="preserve">n </w:t>
      </w:r>
      <w:r>
        <w:rPr>
          <w:sz w:val="24"/>
          <w:szCs w:val="24"/>
        </w:rPr>
        <w:t xml:space="preserve">the </w:t>
      </w:r>
      <w:r w:rsidRPr="003F261A">
        <w:rPr>
          <w:sz w:val="24"/>
          <w:szCs w:val="24"/>
        </w:rPr>
        <w:t>UK</w:t>
      </w:r>
      <w:r>
        <w:rPr>
          <w:sz w:val="24"/>
          <w:szCs w:val="24"/>
        </w:rPr>
        <w:t>, h</w:t>
      </w:r>
      <w:r w:rsidRPr="002A6801">
        <w:rPr>
          <w:sz w:val="24"/>
          <w:szCs w:val="24"/>
        </w:rPr>
        <w:t>owever</w:t>
      </w:r>
      <w:r>
        <w:t>,</w:t>
      </w:r>
      <w:r w:rsidRPr="003F261A">
        <w:rPr>
          <w:sz w:val="24"/>
          <w:szCs w:val="24"/>
        </w:rPr>
        <w:t xml:space="preserve"> HM Treasury </w:t>
      </w:r>
      <w:r>
        <w:rPr>
          <w:sz w:val="24"/>
          <w:szCs w:val="24"/>
        </w:rPr>
        <w:t>(2016) associates</w:t>
      </w:r>
      <w:r w:rsidRPr="003F261A">
        <w:rPr>
          <w:sz w:val="24"/>
          <w:szCs w:val="24"/>
        </w:rPr>
        <w:t xml:space="preserve"> FinTech</w:t>
      </w:r>
      <w:r>
        <w:rPr>
          <w:sz w:val="24"/>
          <w:szCs w:val="24"/>
        </w:rPr>
        <w:t xml:space="preserve"> specifically with high growth firms and refers to it </w:t>
      </w:r>
      <w:r w:rsidRPr="003F261A">
        <w:rPr>
          <w:sz w:val="24"/>
          <w:szCs w:val="24"/>
        </w:rPr>
        <w:t>as ‘</w:t>
      </w:r>
      <w:r w:rsidRPr="00116CCD">
        <w:rPr>
          <w:sz w:val="24"/>
          <w:szCs w:val="24"/>
        </w:rPr>
        <w:t>high-growth organisations combining innovative business models and technology to enable, enhance and disrupt financial service’</w:t>
      </w:r>
      <w:r w:rsidRPr="00116CCD">
        <w:rPr>
          <w:rStyle w:val="FootnoteReference"/>
          <w:sz w:val="24"/>
          <w:szCs w:val="24"/>
        </w:rPr>
        <w:footnoteReference w:id="8"/>
      </w:r>
      <w:r w:rsidRPr="00116CCD">
        <w:rPr>
          <w:sz w:val="24"/>
          <w:szCs w:val="24"/>
        </w:rPr>
        <w:t>, while the EU broadly describes FinTech as “</w:t>
      </w:r>
      <w:r>
        <w:rPr>
          <w:sz w:val="24"/>
          <w:szCs w:val="24"/>
        </w:rPr>
        <w:t>…</w:t>
      </w:r>
      <w:r w:rsidRPr="00D2734A">
        <w:rPr>
          <w:sz w:val="24"/>
          <w:szCs w:val="24"/>
        </w:rPr>
        <w:t xml:space="preserve"> the application of technolog</w:t>
      </w:r>
      <w:r>
        <w:rPr>
          <w:sz w:val="24"/>
          <w:szCs w:val="24"/>
        </w:rPr>
        <w:t>y within the financial industry, covering</w:t>
      </w:r>
      <w:r w:rsidRPr="00D2734A">
        <w:rPr>
          <w:sz w:val="24"/>
          <w:szCs w:val="24"/>
        </w:rPr>
        <w:t xml:space="preserve"> a wide range of activities’</w:t>
      </w:r>
      <w:r>
        <w:rPr>
          <w:rStyle w:val="FootnoteReference"/>
          <w:sz w:val="24"/>
          <w:szCs w:val="24"/>
        </w:rPr>
        <w:footnoteReference w:id="9"/>
      </w:r>
      <w:r>
        <w:rPr>
          <w:sz w:val="24"/>
          <w:szCs w:val="24"/>
        </w:rPr>
        <w:t xml:space="preserve">, without trying to specifically narrow down FinTech to a </w:t>
      </w:r>
      <w:r>
        <w:rPr>
          <w:sz w:val="24"/>
          <w:szCs w:val="24"/>
        </w:rPr>
        <w:lastRenderedPageBreak/>
        <w:t>set of activities within the banking and financial industry</w:t>
      </w:r>
      <w:r w:rsidRPr="00D2734A">
        <w:rPr>
          <w:sz w:val="24"/>
          <w:szCs w:val="24"/>
        </w:rPr>
        <w:t>.</w:t>
      </w:r>
      <w:r>
        <w:rPr>
          <w:sz w:val="24"/>
          <w:szCs w:val="24"/>
        </w:rPr>
        <w:t xml:space="preserve"> Meanwhile, the Hong Kong </w:t>
      </w:r>
      <w:r w:rsidRPr="006A4959">
        <w:rPr>
          <w:sz w:val="24"/>
          <w:szCs w:val="24"/>
        </w:rPr>
        <w:t>Steering Group on Financial Technologies</w:t>
      </w:r>
      <w:r>
        <w:rPr>
          <w:sz w:val="24"/>
          <w:szCs w:val="24"/>
        </w:rPr>
        <w:t xml:space="preserve"> report refers to FinTech as denoting </w:t>
      </w:r>
      <w:r w:rsidRPr="00116CCD">
        <w:rPr>
          <w:sz w:val="24"/>
          <w:szCs w:val="24"/>
        </w:rPr>
        <w:t>‘… the application of IT within financial services, above all, the rise of the internet as a means of lowering barriers both to entry and costs within the industry’</w:t>
      </w:r>
      <w:r w:rsidRPr="00116CCD">
        <w:rPr>
          <w:rStyle w:val="FootnoteReference"/>
          <w:sz w:val="24"/>
          <w:szCs w:val="24"/>
        </w:rPr>
        <w:footnoteReference w:id="10"/>
      </w:r>
      <w:r w:rsidRPr="00116CCD">
        <w:rPr>
          <w:sz w:val="24"/>
          <w:szCs w:val="24"/>
          <w:vertAlign w:val="subscript"/>
        </w:rPr>
        <w:t xml:space="preserve"> </w:t>
      </w:r>
      <w:r w:rsidRPr="00116CCD">
        <w:rPr>
          <w:rStyle w:val="FootnoteReference"/>
          <w:sz w:val="24"/>
          <w:szCs w:val="24"/>
        </w:rPr>
        <w:footnoteReference w:id="11"/>
      </w:r>
      <w:r w:rsidRPr="00116CCD">
        <w:rPr>
          <w:sz w:val="24"/>
          <w:szCs w:val="24"/>
        </w:rPr>
        <w:t>, whereas Singapore sees ‘FinTech as fundamentally transforming the financial industry and it encompasses a wide range of technologies’</w:t>
      </w:r>
      <w:r w:rsidRPr="00116CCD">
        <w:rPr>
          <w:rStyle w:val="FootnoteReference"/>
          <w:sz w:val="24"/>
          <w:szCs w:val="24"/>
        </w:rPr>
        <w:footnoteReference w:id="12"/>
      </w:r>
      <w:r w:rsidRPr="00116CCD">
        <w:rPr>
          <w:sz w:val="24"/>
          <w:szCs w:val="24"/>
        </w:rPr>
        <w:t>.</w:t>
      </w:r>
      <w:r>
        <w:rPr>
          <w:sz w:val="24"/>
          <w:szCs w:val="24"/>
        </w:rPr>
        <w:t xml:space="preserve"> In Germany, the Federal Financial Supervisory Authority (BaFin) </w:t>
      </w:r>
      <w:r w:rsidRPr="00116CCD">
        <w:rPr>
          <w:sz w:val="24"/>
          <w:szCs w:val="24"/>
        </w:rPr>
        <w:t>describes FinTech as comprising both ‘financial services’ and ‘technology’, and states that ‘FinTechs are commonly understood to be young undertakings that provide specialised and in particular customer oriented financial services using technology based systems’</w:t>
      </w:r>
      <w:r w:rsidRPr="00116CCD">
        <w:rPr>
          <w:rStyle w:val="FootnoteReference"/>
          <w:sz w:val="24"/>
          <w:szCs w:val="24"/>
        </w:rPr>
        <w:footnoteReference w:id="13"/>
      </w:r>
      <w:r w:rsidRPr="00116CCD">
        <w:rPr>
          <w:sz w:val="24"/>
          <w:szCs w:val="24"/>
        </w:rPr>
        <w:t>. In Switzerland, the Financial Market Supervisory Authority (FINMA) refers to FinTech companies as those ‘companies tapping into the potential of digital know-how for the financial industry’</w:t>
      </w:r>
      <w:r w:rsidRPr="00116CCD">
        <w:rPr>
          <w:rStyle w:val="FootnoteReference"/>
          <w:sz w:val="24"/>
          <w:szCs w:val="24"/>
        </w:rPr>
        <w:footnoteReference w:id="14"/>
      </w:r>
      <w:r w:rsidRPr="00116CCD">
        <w:rPr>
          <w:sz w:val="24"/>
          <w:szCs w:val="24"/>
        </w:rPr>
        <w:t>. The World Economic Forum released a report in 2015 highlighting the importance of financial innovation, defining FinTech as ‘…the usage of technology and innovative business models in financial services’</w:t>
      </w:r>
      <w:r w:rsidRPr="00116CCD">
        <w:rPr>
          <w:rStyle w:val="FootnoteReference"/>
          <w:sz w:val="24"/>
          <w:szCs w:val="24"/>
        </w:rPr>
        <w:footnoteReference w:id="15"/>
      </w:r>
      <w:r w:rsidRPr="00116CCD">
        <w:rPr>
          <w:sz w:val="24"/>
          <w:szCs w:val="24"/>
        </w:rPr>
        <w:t xml:space="preserve">. </w:t>
      </w:r>
    </w:p>
    <w:p w14:paraId="4FAB4137" w14:textId="77777777" w:rsidR="00AA4986" w:rsidRDefault="00AA4986" w:rsidP="00AA4986">
      <w:pPr>
        <w:ind w:firstLine="426"/>
        <w:jc w:val="both"/>
        <w:rPr>
          <w:sz w:val="24"/>
          <w:szCs w:val="24"/>
        </w:rPr>
      </w:pPr>
      <w:r>
        <w:rPr>
          <w:sz w:val="24"/>
          <w:szCs w:val="24"/>
        </w:rPr>
        <w:t xml:space="preserve">In summary, the above explanations of financial technology suggest that FinTech is primarily technology-focused, applying a wide range of techniques and innovations designed to either improving existing services or disrupting current business models used in the banking and financial services sectors.  </w:t>
      </w:r>
    </w:p>
    <w:p w14:paraId="77F1B1E5" w14:textId="77777777" w:rsidR="00AA4986" w:rsidRDefault="00AA4986" w:rsidP="00AA4986">
      <w:pPr>
        <w:jc w:val="both"/>
        <w:rPr>
          <w:sz w:val="24"/>
          <w:szCs w:val="24"/>
        </w:rPr>
      </w:pPr>
    </w:p>
    <w:p w14:paraId="2B190258" w14:textId="77777777" w:rsidR="00F97B72" w:rsidRDefault="00F97B72" w:rsidP="00AA4986">
      <w:pPr>
        <w:jc w:val="both"/>
        <w:rPr>
          <w:sz w:val="24"/>
          <w:szCs w:val="24"/>
        </w:rPr>
      </w:pPr>
    </w:p>
    <w:p w14:paraId="797BB6FE" w14:textId="77777777" w:rsidR="00F97B72" w:rsidRDefault="00F97B72" w:rsidP="00AA4986">
      <w:pPr>
        <w:jc w:val="both"/>
        <w:rPr>
          <w:sz w:val="24"/>
          <w:szCs w:val="24"/>
        </w:rPr>
      </w:pPr>
    </w:p>
    <w:p w14:paraId="0E429302" w14:textId="7DC392A1" w:rsidR="00AA4986" w:rsidRPr="00AA4986" w:rsidRDefault="00AA4986" w:rsidP="00AA4986">
      <w:pPr>
        <w:pStyle w:val="ListParagraph"/>
        <w:numPr>
          <w:ilvl w:val="0"/>
          <w:numId w:val="27"/>
        </w:numPr>
        <w:jc w:val="both"/>
        <w:rPr>
          <w:b/>
          <w:sz w:val="24"/>
          <w:szCs w:val="24"/>
        </w:rPr>
      </w:pPr>
      <w:r w:rsidRPr="00AA4986">
        <w:rPr>
          <w:b/>
          <w:sz w:val="24"/>
          <w:szCs w:val="24"/>
        </w:rPr>
        <w:lastRenderedPageBreak/>
        <w:t xml:space="preserve">Ineligible Activities in the </w:t>
      </w:r>
      <w:r w:rsidRPr="00284997">
        <w:rPr>
          <w:b/>
          <w:i/>
          <w:sz w:val="24"/>
          <w:szCs w:val="24"/>
        </w:rPr>
        <w:t>Income Tax Assessment Act 1997</w:t>
      </w:r>
    </w:p>
    <w:p w14:paraId="59D00697" w14:textId="51288A43" w:rsidR="005154D1" w:rsidRDefault="00AA4986" w:rsidP="00AA4986">
      <w:pPr>
        <w:jc w:val="both"/>
        <w:rPr>
          <w:sz w:val="24"/>
          <w:szCs w:val="24"/>
        </w:rPr>
      </w:pPr>
      <w:r>
        <w:rPr>
          <w:sz w:val="24"/>
          <w:szCs w:val="24"/>
        </w:rPr>
        <w:t xml:space="preserve">Following the above discussion, our review indicates that FinTech is </w:t>
      </w:r>
      <w:r w:rsidR="00814125">
        <w:rPr>
          <w:sz w:val="24"/>
          <w:szCs w:val="24"/>
        </w:rPr>
        <w:t xml:space="preserve">primarily </w:t>
      </w:r>
      <w:r>
        <w:rPr>
          <w:sz w:val="24"/>
          <w:szCs w:val="24"/>
        </w:rPr>
        <w:t>made up of a range of technology-foc</w:t>
      </w:r>
      <w:r w:rsidR="005154D1">
        <w:rPr>
          <w:sz w:val="24"/>
          <w:szCs w:val="24"/>
        </w:rPr>
        <w:t xml:space="preserve">used activities.  These include, but are not exclusive, </w:t>
      </w:r>
      <w:r w:rsidR="009B046E">
        <w:rPr>
          <w:sz w:val="24"/>
          <w:szCs w:val="24"/>
        </w:rPr>
        <w:t>to</w:t>
      </w:r>
      <w:r w:rsidR="005154D1">
        <w:rPr>
          <w:sz w:val="24"/>
          <w:szCs w:val="24"/>
        </w:rPr>
        <w:t xml:space="preserve"> the following range of activities:</w:t>
      </w:r>
    </w:p>
    <w:p w14:paraId="5E662563" w14:textId="77777777" w:rsidR="005154D1" w:rsidRDefault="00814125" w:rsidP="005154D1">
      <w:pPr>
        <w:pStyle w:val="ListParagraph"/>
        <w:numPr>
          <w:ilvl w:val="0"/>
          <w:numId w:val="28"/>
        </w:numPr>
        <w:jc w:val="both"/>
        <w:rPr>
          <w:sz w:val="24"/>
          <w:szCs w:val="24"/>
        </w:rPr>
      </w:pPr>
      <w:r w:rsidRPr="005154D1">
        <w:rPr>
          <w:sz w:val="24"/>
          <w:szCs w:val="24"/>
        </w:rPr>
        <w:t xml:space="preserve">electronic and internet </w:t>
      </w:r>
      <w:r w:rsidR="005154D1">
        <w:rPr>
          <w:sz w:val="24"/>
          <w:szCs w:val="24"/>
        </w:rPr>
        <w:t>banking;</w:t>
      </w:r>
    </w:p>
    <w:p w14:paraId="32E65CD3" w14:textId="77777777" w:rsidR="005154D1" w:rsidRDefault="00AA4986" w:rsidP="005154D1">
      <w:pPr>
        <w:pStyle w:val="ListParagraph"/>
        <w:numPr>
          <w:ilvl w:val="0"/>
          <w:numId w:val="28"/>
        </w:numPr>
        <w:jc w:val="both"/>
        <w:rPr>
          <w:sz w:val="24"/>
          <w:szCs w:val="24"/>
        </w:rPr>
      </w:pPr>
      <w:r w:rsidRPr="005154D1">
        <w:rPr>
          <w:sz w:val="24"/>
          <w:szCs w:val="24"/>
        </w:rPr>
        <w:t xml:space="preserve">digital payments, credit and lending systems; </w:t>
      </w:r>
    </w:p>
    <w:p w14:paraId="41B63DE0" w14:textId="77777777" w:rsidR="005154D1" w:rsidRDefault="00AA4986" w:rsidP="005154D1">
      <w:pPr>
        <w:pStyle w:val="ListParagraph"/>
        <w:numPr>
          <w:ilvl w:val="0"/>
          <w:numId w:val="28"/>
        </w:numPr>
        <w:jc w:val="both"/>
        <w:rPr>
          <w:sz w:val="24"/>
          <w:szCs w:val="24"/>
        </w:rPr>
      </w:pPr>
      <w:r w:rsidRPr="005154D1">
        <w:rPr>
          <w:sz w:val="24"/>
          <w:szCs w:val="24"/>
        </w:rPr>
        <w:t xml:space="preserve">insurance; </w:t>
      </w:r>
    </w:p>
    <w:p w14:paraId="052C5112" w14:textId="77777777" w:rsidR="005154D1" w:rsidRDefault="00AA4986" w:rsidP="005154D1">
      <w:pPr>
        <w:pStyle w:val="ListParagraph"/>
        <w:numPr>
          <w:ilvl w:val="0"/>
          <w:numId w:val="28"/>
        </w:numPr>
        <w:jc w:val="both"/>
        <w:rPr>
          <w:sz w:val="24"/>
          <w:szCs w:val="24"/>
        </w:rPr>
      </w:pPr>
      <w:r w:rsidRPr="005154D1">
        <w:rPr>
          <w:sz w:val="24"/>
          <w:szCs w:val="24"/>
        </w:rPr>
        <w:t xml:space="preserve">retail investment, pensions, and investment management; </w:t>
      </w:r>
    </w:p>
    <w:p w14:paraId="6E765CBA" w14:textId="77777777" w:rsidR="005154D1" w:rsidRDefault="00AA4986" w:rsidP="005154D1">
      <w:pPr>
        <w:pStyle w:val="ListParagraph"/>
        <w:numPr>
          <w:ilvl w:val="0"/>
          <w:numId w:val="28"/>
        </w:numPr>
        <w:jc w:val="both"/>
        <w:rPr>
          <w:sz w:val="24"/>
          <w:szCs w:val="24"/>
        </w:rPr>
      </w:pPr>
      <w:r w:rsidRPr="005154D1">
        <w:rPr>
          <w:sz w:val="24"/>
          <w:szCs w:val="24"/>
        </w:rPr>
        <w:t xml:space="preserve">wholesale banking and capital markets; </w:t>
      </w:r>
    </w:p>
    <w:p w14:paraId="49CCCA20" w14:textId="77777777" w:rsidR="005154D1" w:rsidRDefault="00AA4986" w:rsidP="005154D1">
      <w:pPr>
        <w:pStyle w:val="ListParagraph"/>
        <w:numPr>
          <w:ilvl w:val="0"/>
          <w:numId w:val="28"/>
        </w:numPr>
        <w:jc w:val="both"/>
        <w:rPr>
          <w:sz w:val="24"/>
          <w:szCs w:val="24"/>
        </w:rPr>
      </w:pPr>
      <w:r w:rsidRPr="005154D1">
        <w:rPr>
          <w:sz w:val="24"/>
          <w:szCs w:val="24"/>
        </w:rPr>
        <w:t xml:space="preserve">digital (virtual) currencies; </w:t>
      </w:r>
    </w:p>
    <w:p w14:paraId="69E93B45" w14:textId="77777777" w:rsidR="005154D1" w:rsidRDefault="00AA4986" w:rsidP="005154D1">
      <w:pPr>
        <w:pStyle w:val="ListParagraph"/>
        <w:numPr>
          <w:ilvl w:val="0"/>
          <w:numId w:val="28"/>
        </w:numPr>
        <w:jc w:val="both"/>
        <w:rPr>
          <w:sz w:val="24"/>
          <w:szCs w:val="24"/>
        </w:rPr>
      </w:pPr>
      <w:r w:rsidRPr="005154D1">
        <w:rPr>
          <w:sz w:val="24"/>
          <w:szCs w:val="24"/>
        </w:rPr>
        <w:t xml:space="preserve">P2P lending platforms and crowdfunding; </w:t>
      </w:r>
    </w:p>
    <w:p w14:paraId="42812C69" w14:textId="77777777" w:rsidR="005154D1" w:rsidRDefault="00AA4986" w:rsidP="005154D1">
      <w:pPr>
        <w:pStyle w:val="ListParagraph"/>
        <w:numPr>
          <w:ilvl w:val="0"/>
          <w:numId w:val="28"/>
        </w:numPr>
        <w:jc w:val="both"/>
        <w:rPr>
          <w:sz w:val="24"/>
          <w:szCs w:val="24"/>
        </w:rPr>
      </w:pPr>
      <w:r w:rsidRPr="005154D1">
        <w:rPr>
          <w:sz w:val="24"/>
          <w:szCs w:val="24"/>
        </w:rPr>
        <w:t xml:space="preserve">cloud computing and big data; </w:t>
      </w:r>
    </w:p>
    <w:p w14:paraId="191EFECD" w14:textId="77777777" w:rsidR="005154D1" w:rsidRDefault="00AA4986" w:rsidP="005154D1">
      <w:pPr>
        <w:pStyle w:val="ListParagraph"/>
        <w:numPr>
          <w:ilvl w:val="0"/>
          <w:numId w:val="28"/>
        </w:numPr>
        <w:jc w:val="both"/>
        <w:rPr>
          <w:sz w:val="24"/>
          <w:szCs w:val="24"/>
        </w:rPr>
      </w:pPr>
      <w:r w:rsidRPr="005154D1">
        <w:rPr>
          <w:sz w:val="24"/>
          <w:szCs w:val="24"/>
        </w:rPr>
        <w:t xml:space="preserve">e-trading platforms and algorithmic trading; </w:t>
      </w:r>
    </w:p>
    <w:p w14:paraId="0CE79896" w14:textId="73761474" w:rsidR="005154D1" w:rsidRDefault="00AA4986" w:rsidP="005154D1">
      <w:pPr>
        <w:pStyle w:val="ListParagraph"/>
        <w:numPr>
          <w:ilvl w:val="0"/>
          <w:numId w:val="28"/>
        </w:numPr>
        <w:jc w:val="both"/>
        <w:rPr>
          <w:sz w:val="24"/>
          <w:szCs w:val="24"/>
        </w:rPr>
      </w:pPr>
      <w:r w:rsidRPr="005154D1">
        <w:rPr>
          <w:sz w:val="24"/>
          <w:szCs w:val="24"/>
        </w:rPr>
        <w:t>bl</w:t>
      </w:r>
      <w:r w:rsidR="00284997">
        <w:rPr>
          <w:sz w:val="24"/>
          <w:szCs w:val="24"/>
        </w:rPr>
        <w:t>o</w:t>
      </w:r>
      <w:r w:rsidRPr="005154D1">
        <w:rPr>
          <w:sz w:val="24"/>
          <w:szCs w:val="24"/>
        </w:rPr>
        <w:t xml:space="preserve">ckchains and distributed ledger systems; </w:t>
      </w:r>
    </w:p>
    <w:p w14:paraId="33A1B92F" w14:textId="77777777" w:rsidR="005154D1" w:rsidRDefault="00AA4986" w:rsidP="005154D1">
      <w:pPr>
        <w:pStyle w:val="ListParagraph"/>
        <w:numPr>
          <w:ilvl w:val="0"/>
          <w:numId w:val="28"/>
        </w:numPr>
        <w:jc w:val="both"/>
        <w:rPr>
          <w:sz w:val="24"/>
          <w:szCs w:val="24"/>
        </w:rPr>
      </w:pPr>
      <w:r w:rsidRPr="005154D1">
        <w:rPr>
          <w:sz w:val="24"/>
          <w:szCs w:val="24"/>
        </w:rPr>
        <w:t xml:space="preserve">operations and risk management; </w:t>
      </w:r>
    </w:p>
    <w:p w14:paraId="57CBE5FA" w14:textId="77777777" w:rsidR="005154D1" w:rsidRDefault="00AA4986" w:rsidP="005154D1">
      <w:pPr>
        <w:pStyle w:val="ListParagraph"/>
        <w:numPr>
          <w:ilvl w:val="0"/>
          <w:numId w:val="28"/>
        </w:numPr>
        <w:jc w:val="both"/>
        <w:rPr>
          <w:sz w:val="24"/>
          <w:szCs w:val="24"/>
        </w:rPr>
      </w:pPr>
      <w:r w:rsidRPr="005154D1">
        <w:rPr>
          <w:sz w:val="24"/>
          <w:szCs w:val="24"/>
        </w:rPr>
        <w:t xml:space="preserve">data security monetisation; </w:t>
      </w:r>
    </w:p>
    <w:p w14:paraId="49046494" w14:textId="77777777" w:rsidR="005154D1" w:rsidRDefault="00AA4986" w:rsidP="005154D1">
      <w:pPr>
        <w:pStyle w:val="ListParagraph"/>
        <w:numPr>
          <w:ilvl w:val="0"/>
          <w:numId w:val="28"/>
        </w:numPr>
        <w:jc w:val="both"/>
        <w:rPr>
          <w:sz w:val="24"/>
          <w:szCs w:val="24"/>
        </w:rPr>
      </w:pPr>
      <w:r w:rsidRPr="005154D1">
        <w:rPr>
          <w:sz w:val="24"/>
          <w:szCs w:val="24"/>
        </w:rPr>
        <w:t xml:space="preserve">customer interface; and </w:t>
      </w:r>
    </w:p>
    <w:p w14:paraId="2B0E6E19" w14:textId="6D6D59EC" w:rsidR="00AA4986" w:rsidRPr="005154D1" w:rsidRDefault="005154D1" w:rsidP="005154D1">
      <w:pPr>
        <w:pStyle w:val="ListParagraph"/>
        <w:numPr>
          <w:ilvl w:val="0"/>
          <w:numId w:val="28"/>
        </w:numPr>
        <w:jc w:val="both"/>
        <w:rPr>
          <w:sz w:val="24"/>
          <w:szCs w:val="24"/>
        </w:rPr>
      </w:pPr>
      <w:r>
        <w:rPr>
          <w:sz w:val="24"/>
          <w:szCs w:val="24"/>
        </w:rPr>
        <w:t xml:space="preserve">other </w:t>
      </w:r>
      <w:r w:rsidR="00AA4986" w:rsidRPr="005154D1">
        <w:rPr>
          <w:sz w:val="24"/>
          <w:szCs w:val="24"/>
        </w:rPr>
        <w:t xml:space="preserve">finance-related infrastructure.  </w:t>
      </w:r>
    </w:p>
    <w:p w14:paraId="63A27BAA" w14:textId="693791EF" w:rsidR="00AA4986" w:rsidRPr="00AA4986" w:rsidRDefault="00AA4986" w:rsidP="00AA4986">
      <w:pPr>
        <w:ind w:firstLine="720"/>
        <w:jc w:val="both"/>
        <w:rPr>
          <w:sz w:val="24"/>
          <w:szCs w:val="24"/>
        </w:rPr>
      </w:pPr>
      <w:r w:rsidRPr="00AA4986">
        <w:rPr>
          <w:sz w:val="24"/>
          <w:szCs w:val="24"/>
        </w:rPr>
        <w:t>Accordingly, th</w:t>
      </w:r>
      <w:r w:rsidR="00284997">
        <w:rPr>
          <w:sz w:val="24"/>
          <w:szCs w:val="24"/>
        </w:rPr>
        <w:t>is</w:t>
      </w:r>
      <w:r w:rsidRPr="00AA4986">
        <w:rPr>
          <w:sz w:val="24"/>
          <w:szCs w:val="24"/>
        </w:rPr>
        <w:t xml:space="preserve"> range of FinTech activities </w:t>
      </w:r>
      <w:r w:rsidR="00E02F2C">
        <w:rPr>
          <w:sz w:val="24"/>
          <w:szCs w:val="24"/>
        </w:rPr>
        <w:t xml:space="preserve">(see Appendix B) </w:t>
      </w:r>
      <w:r w:rsidRPr="00AA4986">
        <w:rPr>
          <w:sz w:val="24"/>
          <w:szCs w:val="24"/>
        </w:rPr>
        <w:t xml:space="preserve">suggest that the ineligible activities for venture capital investment currently listed in Section 118.425 of the </w:t>
      </w:r>
      <w:r w:rsidRPr="00055F6B">
        <w:rPr>
          <w:i/>
          <w:sz w:val="24"/>
          <w:szCs w:val="24"/>
        </w:rPr>
        <w:t>Income Tax Assessment Ac</w:t>
      </w:r>
      <w:r w:rsidR="009B046E" w:rsidRPr="00055F6B">
        <w:rPr>
          <w:i/>
          <w:sz w:val="24"/>
          <w:szCs w:val="24"/>
        </w:rPr>
        <w:t>t 1997</w:t>
      </w:r>
      <w:r w:rsidR="009B046E">
        <w:rPr>
          <w:sz w:val="24"/>
          <w:szCs w:val="24"/>
        </w:rPr>
        <w:t xml:space="preserve"> is out of date. The Act </w:t>
      </w:r>
      <w:r w:rsidRPr="00AA4986">
        <w:rPr>
          <w:sz w:val="24"/>
          <w:szCs w:val="24"/>
        </w:rPr>
        <w:t>includes a number of finance activities as ineligible</w:t>
      </w:r>
      <w:r w:rsidR="009B046E">
        <w:rPr>
          <w:sz w:val="24"/>
          <w:szCs w:val="24"/>
        </w:rPr>
        <w:t xml:space="preserve"> such as</w:t>
      </w:r>
      <w:r w:rsidRPr="00AA4986">
        <w:rPr>
          <w:sz w:val="24"/>
          <w:szCs w:val="24"/>
        </w:rPr>
        <w:t xml:space="preserve"> banking, providing capital to others, leasing, factoring; securitisation and other activities such as insurance, construction, and making investments, that are directed to deriving income in the nature of interest, rents, dividends, royalties or lease payments</w:t>
      </w:r>
      <w:r w:rsidRPr="00AA4986">
        <w:rPr>
          <w:rStyle w:val="FootnoteReference"/>
          <w:sz w:val="24"/>
          <w:szCs w:val="24"/>
        </w:rPr>
        <w:footnoteReference w:id="16"/>
      </w:r>
      <w:r w:rsidRPr="00AA4986">
        <w:rPr>
          <w:sz w:val="24"/>
          <w:szCs w:val="24"/>
        </w:rPr>
        <w:t xml:space="preserve">.  </w:t>
      </w:r>
      <w:r w:rsidR="009B046E">
        <w:rPr>
          <w:sz w:val="24"/>
          <w:szCs w:val="24"/>
        </w:rPr>
        <w:t>We</w:t>
      </w:r>
      <w:r w:rsidRPr="00AA4986">
        <w:rPr>
          <w:sz w:val="24"/>
          <w:szCs w:val="24"/>
        </w:rPr>
        <w:t xml:space="preserve"> recommend that these ineligible activities be removed from the Act as they are no longer applicable </w:t>
      </w:r>
      <w:r w:rsidR="00814125">
        <w:rPr>
          <w:sz w:val="24"/>
          <w:szCs w:val="24"/>
        </w:rPr>
        <w:t>and</w:t>
      </w:r>
      <w:r w:rsidR="009B046E">
        <w:rPr>
          <w:sz w:val="24"/>
          <w:szCs w:val="24"/>
        </w:rPr>
        <w:t xml:space="preserve"> are contrary to the intended purpose</w:t>
      </w:r>
      <w:r w:rsidRPr="00AA4986">
        <w:rPr>
          <w:sz w:val="24"/>
          <w:szCs w:val="24"/>
        </w:rPr>
        <w:t xml:space="preserve"> of venture capital investment for start-ups in FinTech.</w:t>
      </w:r>
    </w:p>
    <w:p w14:paraId="6B6F06A4" w14:textId="77777777" w:rsidR="00AA4986" w:rsidRDefault="00AA4986" w:rsidP="00AA4986">
      <w:pPr>
        <w:ind w:firstLine="720"/>
        <w:jc w:val="both"/>
      </w:pPr>
    </w:p>
    <w:p w14:paraId="1D5EB246" w14:textId="77777777" w:rsidR="00AA4986" w:rsidRDefault="00AA4986" w:rsidP="00AA4986">
      <w:pPr>
        <w:ind w:firstLine="720"/>
        <w:jc w:val="both"/>
        <w:rPr>
          <w:sz w:val="24"/>
          <w:szCs w:val="24"/>
        </w:rPr>
      </w:pPr>
    </w:p>
    <w:p w14:paraId="1E3CEE29" w14:textId="5ECF2A7C" w:rsidR="0074048A" w:rsidRDefault="0074048A">
      <w:r>
        <w:br w:type="page"/>
      </w:r>
    </w:p>
    <w:p w14:paraId="31699747" w14:textId="77777777" w:rsidR="0074048A" w:rsidRDefault="0074048A" w:rsidP="00AA4986">
      <w:pPr>
        <w:jc w:val="both"/>
        <w:sectPr w:rsidR="0074048A" w:rsidSect="00F6169D">
          <w:headerReference w:type="even" r:id="rId16"/>
          <w:headerReference w:type="default" r:id="rId17"/>
          <w:footerReference w:type="even" r:id="rId18"/>
          <w:footerReference w:type="default" r:id="rId19"/>
          <w:headerReference w:type="first" r:id="rId20"/>
          <w:footerReference w:type="first" r:id="rId21"/>
          <w:type w:val="continuous"/>
          <w:pgSz w:w="11899" w:h="16838"/>
          <w:pgMar w:top="1418" w:right="1134" w:bottom="1701" w:left="1701" w:header="0" w:footer="0" w:gutter="0"/>
          <w:cols w:space="720"/>
          <w:titlePg/>
          <w:docGrid w:linePitch="360"/>
        </w:sectPr>
      </w:pPr>
    </w:p>
    <w:p w14:paraId="68E405B6" w14:textId="324616C6" w:rsidR="0039040B" w:rsidRDefault="0039040B" w:rsidP="0039040B">
      <w:pPr>
        <w:pStyle w:val="ListParagraph"/>
        <w:ind w:left="284"/>
        <w:rPr>
          <w:b/>
        </w:rPr>
      </w:pPr>
      <w:r>
        <w:rPr>
          <w:b/>
        </w:rPr>
        <w:lastRenderedPageBreak/>
        <w:t>Appendix A: Comparison of FinTech “Definitions” by Jurisdiction</w:t>
      </w:r>
    </w:p>
    <w:p w14:paraId="0EBBF9BA" w14:textId="77777777" w:rsidR="0039040B" w:rsidRDefault="0039040B" w:rsidP="0039040B">
      <w:pPr>
        <w:pStyle w:val="ListParagraph"/>
        <w:ind w:left="284"/>
        <w:rPr>
          <w:b/>
        </w:rPr>
      </w:pPr>
    </w:p>
    <w:tbl>
      <w:tblPr>
        <w:tblStyle w:val="TableGrid"/>
        <w:tblW w:w="0" w:type="auto"/>
        <w:tblInd w:w="284" w:type="dxa"/>
        <w:tblLook w:val="04A0" w:firstRow="1" w:lastRow="0" w:firstColumn="1" w:lastColumn="0" w:noHBand="0" w:noVBand="1"/>
      </w:tblPr>
      <w:tblGrid>
        <w:gridCol w:w="1412"/>
        <w:gridCol w:w="11340"/>
      </w:tblGrid>
      <w:tr w:rsidR="0039040B" w14:paraId="0BE8001D" w14:textId="77777777" w:rsidTr="000D331E">
        <w:tc>
          <w:tcPr>
            <w:tcW w:w="1412" w:type="dxa"/>
          </w:tcPr>
          <w:p w14:paraId="5C68098B" w14:textId="77777777" w:rsidR="0039040B" w:rsidRDefault="0039040B" w:rsidP="00975E44">
            <w:pPr>
              <w:pStyle w:val="ListParagraph"/>
              <w:ind w:left="0"/>
              <w:rPr>
                <w:b/>
              </w:rPr>
            </w:pPr>
            <w:r>
              <w:rPr>
                <w:b/>
              </w:rPr>
              <w:t>Treasury, Australia</w:t>
            </w:r>
          </w:p>
        </w:tc>
        <w:tc>
          <w:tcPr>
            <w:tcW w:w="11340" w:type="dxa"/>
          </w:tcPr>
          <w:p w14:paraId="1E430372" w14:textId="77777777" w:rsidR="0039040B" w:rsidRPr="00274E11" w:rsidRDefault="0039040B" w:rsidP="00975E44">
            <w:pPr>
              <w:pStyle w:val="ListParagraph"/>
              <w:ind w:left="0"/>
            </w:pPr>
            <w:r w:rsidRPr="00274E11">
              <w:rPr>
                <w:sz w:val="24"/>
                <w:szCs w:val="24"/>
              </w:rPr>
              <w:t>FinTech stimulates technological innovation so that financial markets and systems can become more efficient and consumer focussed.</w:t>
            </w:r>
          </w:p>
        </w:tc>
      </w:tr>
      <w:tr w:rsidR="0039040B" w14:paraId="7BB9723D" w14:textId="77777777" w:rsidTr="000D331E">
        <w:tc>
          <w:tcPr>
            <w:tcW w:w="1412" w:type="dxa"/>
          </w:tcPr>
          <w:p w14:paraId="5E5907E3" w14:textId="77777777" w:rsidR="0039040B" w:rsidRDefault="0039040B" w:rsidP="00975E44">
            <w:pPr>
              <w:pStyle w:val="ListParagraph"/>
              <w:ind w:left="0"/>
              <w:rPr>
                <w:b/>
              </w:rPr>
            </w:pPr>
            <w:r>
              <w:rPr>
                <w:b/>
              </w:rPr>
              <w:t>Treasury, UK</w:t>
            </w:r>
          </w:p>
        </w:tc>
        <w:tc>
          <w:tcPr>
            <w:tcW w:w="11340" w:type="dxa"/>
          </w:tcPr>
          <w:p w14:paraId="189087E1" w14:textId="5689569F" w:rsidR="0039040B" w:rsidRPr="00274E11" w:rsidRDefault="0039040B" w:rsidP="0039040B">
            <w:pPr>
              <w:pStyle w:val="ListParagraph"/>
              <w:ind w:left="0"/>
              <w:rPr>
                <w:b/>
              </w:rPr>
            </w:pPr>
            <w:r w:rsidRPr="00274E11">
              <w:rPr>
                <w:sz w:val="24"/>
                <w:szCs w:val="24"/>
              </w:rPr>
              <w:t xml:space="preserve">FinTech </w:t>
            </w:r>
            <w:r>
              <w:rPr>
                <w:sz w:val="24"/>
                <w:szCs w:val="24"/>
              </w:rPr>
              <w:t>refers to</w:t>
            </w:r>
            <w:r w:rsidRPr="00274E11">
              <w:rPr>
                <w:sz w:val="24"/>
                <w:szCs w:val="24"/>
              </w:rPr>
              <w:t xml:space="preserve"> high-growth organisations combining innovative business models and technology to enable, enhance and disrupt financial service</w:t>
            </w:r>
            <w:r>
              <w:rPr>
                <w:sz w:val="24"/>
                <w:szCs w:val="24"/>
              </w:rPr>
              <w:t>s</w:t>
            </w:r>
            <w:r w:rsidRPr="00274E11">
              <w:rPr>
                <w:sz w:val="24"/>
                <w:szCs w:val="24"/>
              </w:rPr>
              <w:t>.</w:t>
            </w:r>
          </w:p>
        </w:tc>
      </w:tr>
      <w:tr w:rsidR="0039040B" w14:paraId="79B2C7CC" w14:textId="77777777" w:rsidTr="000D331E">
        <w:tc>
          <w:tcPr>
            <w:tcW w:w="1412" w:type="dxa"/>
          </w:tcPr>
          <w:p w14:paraId="14609482" w14:textId="77777777" w:rsidR="0039040B" w:rsidRDefault="0039040B" w:rsidP="00975E44">
            <w:pPr>
              <w:pStyle w:val="ListParagraph"/>
              <w:ind w:left="0"/>
              <w:rPr>
                <w:b/>
              </w:rPr>
            </w:pPr>
            <w:r>
              <w:rPr>
                <w:b/>
              </w:rPr>
              <w:t>Hong Kong</w:t>
            </w:r>
          </w:p>
        </w:tc>
        <w:tc>
          <w:tcPr>
            <w:tcW w:w="11340" w:type="dxa"/>
          </w:tcPr>
          <w:p w14:paraId="582E0CED" w14:textId="64BBEBD6" w:rsidR="0039040B" w:rsidRPr="00274E11" w:rsidRDefault="0039040B" w:rsidP="0039040B">
            <w:pPr>
              <w:pStyle w:val="ListParagraph"/>
              <w:ind w:left="0"/>
              <w:rPr>
                <w:b/>
              </w:rPr>
            </w:pPr>
            <w:r w:rsidRPr="00274E11">
              <w:rPr>
                <w:sz w:val="24"/>
                <w:szCs w:val="24"/>
              </w:rPr>
              <w:t xml:space="preserve">FinTech is the application of IT within </w:t>
            </w:r>
            <w:r>
              <w:rPr>
                <w:sz w:val="24"/>
                <w:szCs w:val="24"/>
              </w:rPr>
              <w:t xml:space="preserve">the </w:t>
            </w:r>
            <w:r w:rsidRPr="00274E11">
              <w:rPr>
                <w:sz w:val="24"/>
                <w:szCs w:val="24"/>
              </w:rPr>
              <w:t>financial services</w:t>
            </w:r>
            <w:r>
              <w:rPr>
                <w:sz w:val="24"/>
                <w:szCs w:val="24"/>
              </w:rPr>
              <w:t xml:space="preserve"> industry</w:t>
            </w:r>
            <w:r w:rsidRPr="00274E11">
              <w:rPr>
                <w:sz w:val="24"/>
                <w:szCs w:val="24"/>
              </w:rPr>
              <w:t xml:space="preserve">, above all, </w:t>
            </w:r>
            <w:r>
              <w:rPr>
                <w:sz w:val="24"/>
                <w:szCs w:val="24"/>
              </w:rPr>
              <w:t xml:space="preserve">it is due to </w:t>
            </w:r>
            <w:r w:rsidRPr="00274E11">
              <w:rPr>
                <w:sz w:val="24"/>
                <w:szCs w:val="24"/>
              </w:rPr>
              <w:t xml:space="preserve">the </w:t>
            </w:r>
            <w:r>
              <w:rPr>
                <w:sz w:val="24"/>
                <w:szCs w:val="24"/>
              </w:rPr>
              <w:t>growth</w:t>
            </w:r>
            <w:r w:rsidRPr="00274E11">
              <w:rPr>
                <w:sz w:val="24"/>
                <w:szCs w:val="24"/>
              </w:rPr>
              <w:t xml:space="preserve"> of the internet as a means of lowering barriers both to entry and costs within the industry.</w:t>
            </w:r>
          </w:p>
        </w:tc>
      </w:tr>
      <w:tr w:rsidR="0039040B" w14:paraId="3AE732AC" w14:textId="77777777" w:rsidTr="000D331E">
        <w:tc>
          <w:tcPr>
            <w:tcW w:w="1412" w:type="dxa"/>
          </w:tcPr>
          <w:p w14:paraId="5AA7C5EF" w14:textId="77777777" w:rsidR="0039040B" w:rsidRDefault="0039040B" w:rsidP="00975E44">
            <w:pPr>
              <w:pStyle w:val="ListParagraph"/>
              <w:ind w:left="0"/>
              <w:rPr>
                <w:b/>
              </w:rPr>
            </w:pPr>
            <w:r>
              <w:rPr>
                <w:b/>
              </w:rPr>
              <w:t>Singapore</w:t>
            </w:r>
          </w:p>
        </w:tc>
        <w:tc>
          <w:tcPr>
            <w:tcW w:w="11340" w:type="dxa"/>
          </w:tcPr>
          <w:p w14:paraId="71614028" w14:textId="5F676A49" w:rsidR="0039040B" w:rsidRPr="00274E11" w:rsidRDefault="0039040B" w:rsidP="0039040B">
            <w:pPr>
              <w:pStyle w:val="ListParagraph"/>
              <w:ind w:left="0"/>
              <w:rPr>
                <w:b/>
              </w:rPr>
            </w:pPr>
            <w:r w:rsidRPr="00274E11">
              <w:rPr>
                <w:sz w:val="24"/>
                <w:szCs w:val="24"/>
              </w:rPr>
              <w:t xml:space="preserve">FinTech </w:t>
            </w:r>
            <w:r>
              <w:rPr>
                <w:sz w:val="24"/>
                <w:szCs w:val="24"/>
              </w:rPr>
              <w:t>is</w:t>
            </w:r>
            <w:r w:rsidRPr="00274E11">
              <w:rPr>
                <w:sz w:val="24"/>
                <w:szCs w:val="24"/>
              </w:rPr>
              <w:t xml:space="preserve"> fundamentally transforming the financial industry </w:t>
            </w:r>
            <w:r>
              <w:rPr>
                <w:sz w:val="24"/>
                <w:szCs w:val="24"/>
              </w:rPr>
              <w:t>by encompassing</w:t>
            </w:r>
            <w:r w:rsidRPr="00274E11">
              <w:rPr>
                <w:sz w:val="24"/>
                <w:szCs w:val="24"/>
              </w:rPr>
              <w:t xml:space="preserve"> a wide range of technologies.</w:t>
            </w:r>
          </w:p>
        </w:tc>
      </w:tr>
      <w:tr w:rsidR="0039040B" w14:paraId="7436B868" w14:textId="77777777" w:rsidTr="000D331E">
        <w:tc>
          <w:tcPr>
            <w:tcW w:w="1412" w:type="dxa"/>
          </w:tcPr>
          <w:p w14:paraId="528FB8F0" w14:textId="77777777" w:rsidR="0039040B" w:rsidRDefault="0039040B" w:rsidP="00975E44">
            <w:pPr>
              <w:pStyle w:val="ListParagraph"/>
              <w:ind w:left="0"/>
              <w:rPr>
                <w:b/>
              </w:rPr>
            </w:pPr>
            <w:r>
              <w:rPr>
                <w:b/>
              </w:rPr>
              <w:t>EU</w:t>
            </w:r>
          </w:p>
        </w:tc>
        <w:tc>
          <w:tcPr>
            <w:tcW w:w="11340" w:type="dxa"/>
          </w:tcPr>
          <w:p w14:paraId="6EB6C1D3" w14:textId="77777777" w:rsidR="0039040B" w:rsidRPr="00274E11" w:rsidRDefault="0039040B" w:rsidP="00975E44">
            <w:pPr>
              <w:pStyle w:val="ListParagraph"/>
              <w:ind w:left="0"/>
              <w:rPr>
                <w:b/>
              </w:rPr>
            </w:pPr>
            <w:r w:rsidRPr="00274E11">
              <w:rPr>
                <w:sz w:val="24"/>
                <w:szCs w:val="24"/>
              </w:rPr>
              <w:t>FinTech is the application of technology within the financial industry, covering a wide range of activities.</w:t>
            </w:r>
          </w:p>
        </w:tc>
      </w:tr>
      <w:tr w:rsidR="0039040B" w14:paraId="4E15DF63" w14:textId="77777777" w:rsidTr="000D331E">
        <w:tc>
          <w:tcPr>
            <w:tcW w:w="1412" w:type="dxa"/>
          </w:tcPr>
          <w:p w14:paraId="724D5840" w14:textId="77777777" w:rsidR="0039040B" w:rsidRDefault="0039040B" w:rsidP="00975E44">
            <w:pPr>
              <w:pStyle w:val="ListParagraph"/>
              <w:ind w:left="0"/>
              <w:rPr>
                <w:b/>
              </w:rPr>
            </w:pPr>
            <w:r>
              <w:rPr>
                <w:b/>
              </w:rPr>
              <w:t>Germany</w:t>
            </w:r>
          </w:p>
        </w:tc>
        <w:tc>
          <w:tcPr>
            <w:tcW w:w="11340" w:type="dxa"/>
          </w:tcPr>
          <w:p w14:paraId="1C3F93CD" w14:textId="520CB8A5" w:rsidR="0039040B" w:rsidRPr="00274E11" w:rsidRDefault="0039040B" w:rsidP="00975E44">
            <w:pPr>
              <w:pStyle w:val="ListParagraph"/>
              <w:ind w:left="0"/>
              <w:rPr>
                <w:b/>
              </w:rPr>
            </w:pPr>
            <w:r>
              <w:rPr>
                <w:sz w:val="24"/>
                <w:szCs w:val="24"/>
              </w:rPr>
              <w:t>FinTech</w:t>
            </w:r>
            <w:r w:rsidRPr="00274E11">
              <w:rPr>
                <w:sz w:val="24"/>
                <w:szCs w:val="24"/>
              </w:rPr>
              <w:t xml:space="preserve"> </w:t>
            </w:r>
            <w:r>
              <w:rPr>
                <w:sz w:val="24"/>
                <w:szCs w:val="24"/>
              </w:rPr>
              <w:t>is</w:t>
            </w:r>
            <w:r w:rsidRPr="00274E11">
              <w:rPr>
                <w:sz w:val="24"/>
                <w:szCs w:val="24"/>
              </w:rPr>
              <w:t xml:space="preserve"> commonly understood to be young undertakings that provide specialised and</w:t>
            </w:r>
            <w:r>
              <w:rPr>
                <w:sz w:val="24"/>
                <w:szCs w:val="24"/>
              </w:rPr>
              <w:t>,</w:t>
            </w:r>
            <w:r w:rsidRPr="00274E11">
              <w:rPr>
                <w:sz w:val="24"/>
                <w:szCs w:val="24"/>
              </w:rPr>
              <w:t xml:space="preserve"> in particular</w:t>
            </w:r>
            <w:r>
              <w:rPr>
                <w:sz w:val="24"/>
                <w:szCs w:val="24"/>
              </w:rPr>
              <w:t>,</w:t>
            </w:r>
            <w:r w:rsidRPr="00274E11">
              <w:rPr>
                <w:sz w:val="24"/>
                <w:szCs w:val="24"/>
              </w:rPr>
              <w:t xml:space="preserve"> customer oriented financial services using technology based systems.</w:t>
            </w:r>
          </w:p>
        </w:tc>
      </w:tr>
      <w:tr w:rsidR="0039040B" w14:paraId="4F2D3401" w14:textId="77777777" w:rsidTr="000D331E">
        <w:tc>
          <w:tcPr>
            <w:tcW w:w="1412" w:type="dxa"/>
          </w:tcPr>
          <w:p w14:paraId="3827B07B" w14:textId="77777777" w:rsidR="0039040B" w:rsidRDefault="0039040B" w:rsidP="00975E44">
            <w:pPr>
              <w:pStyle w:val="ListParagraph"/>
              <w:ind w:left="0"/>
              <w:rPr>
                <w:b/>
              </w:rPr>
            </w:pPr>
            <w:r>
              <w:rPr>
                <w:b/>
              </w:rPr>
              <w:t>Switzerland</w:t>
            </w:r>
          </w:p>
        </w:tc>
        <w:tc>
          <w:tcPr>
            <w:tcW w:w="11340" w:type="dxa"/>
          </w:tcPr>
          <w:p w14:paraId="65AA3E84" w14:textId="6B19799D" w:rsidR="0039040B" w:rsidRPr="00274E11" w:rsidRDefault="0039040B" w:rsidP="0039040B">
            <w:pPr>
              <w:pStyle w:val="ListParagraph"/>
              <w:ind w:left="0"/>
              <w:rPr>
                <w:b/>
              </w:rPr>
            </w:pPr>
            <w:r>
              <w:rPr>
                <w:sz w:val="24"/>
                <w:szCs w:val="24"/>
              </w:rPr>
              <w:t xml:space="preserve">FinTech are </w:t>
            </w:r>
            <w:r w:rsidRPr="00274E11">
              <w:rPr>
                <w:sz w:val="24"/>
                <w:szCs w:val="24"/>
              </w:rPr>
              <w:t>companies</w:t>
            </w:r>
            <w:r>
              <w:rPr>
                <w:sz w:val="24"/>
                <w:szCs w:val="24"/>
              </w:rPr>
              <w:t xml:space="preserve"> that tap</w:t>
            </w:r>
            <w:r w:rsidRPr="00274E11">
              <w:rPr>
                <w:sz w:val="24"/>
                <w:szCs w:val="24"/>
              </w:rPr>
              <w:t xml:space="preserve"> into the potential of digital know-how for the financial industry.</w:t>
            </w:r>
          </w:p>
        </w:tc>
      </w:tr>
    </w:tbl>
    <w:p w14:paraId="1430F357" w14:textId="77777777" w:rsidR="0039040B" w:rsidRDefault="0039040B" w:rsidP="0039040B">
      <w:pPr>
        <w:pStyle w:val="ListParagraph"/>
        <w:ind w:left="284"/>
        <w:rPr>
          <w:b/>
        </w:rPr>
      </w:pPr>
    </w:p>
    <w:p w14:paraId="34F41671" w14:textId="77777777" w:rsidR="0039040B" w:rsidRDefault="0039040B" w:rsidP="0039040B">
      <w:pPr>
        <w:pStyle w:val="ListParagraph"/>
        <w:ind w:left="284"/>
        <w:rPr>
          <w:b/>
        </w:rPr>
      </w:pPr>
    </w:p>
    <w:p w14:paraId="130DAB9E" w14:textId="77777777" w:rsidR="0039040B" w:rsidRDefault="0039040B" w:rsidP="0039040B">
      <w:pPr>
        <w:pStyle w:val="ListParagraph"/>
        <w:ind w:left="284"/>
        <w:rPr>
          <w:b/>
        </w:rPr>
      </w:pPr>
    </w:p>
    <w:p w14:paraId="0E7D9994" w14:textId="77777777" w:rsidR="0039040B" w:rsidRDefault="0039040B" w:rsidP="0039040B">
      <w:pPr>
        <w:pStyle w:val="ListParagraph"/>
        <w:ind w:left="284"/>
        <w:rPr>
          <w:b/>
        </w:rPr>
      </w:pPr>
    </w:p>
    <w:p w14:paraId="037979B1" w14:textId="77777777" w:rsidR="0039040B" w:rsidRDefault="0039040B" w:rsidP="0039040B">
      <w:pPr>
        <w:pStyle w:val="ListParagraph"/>
        <w:ind w:left="284"/>
        <w:rPr>
          <w:b/>
        </w:rPr>
      </w:pPr>
    </w:p>
    <w:p w14:paraId="663E343F" w14:textId="77777777" w:rsidR="0039040B" w:rsidRDefault="0039040B" w:rsidP="0039040B">
      <w:pPr>
        <w:pStyle w:val="ListParagraph"/>
        <w:ind w:left="284"/>
        <w:rPr>
          <w:b/>
        </w:rPr>
      </w:pPr>
    </w:p>
    <w:p w14:paraId="7B673085" w14:textId="77777777" w:rsidR="0039040B" w:rsidRDefault="0039040B" w:rsidP="0039040B">
      <w:pPr>
        <w:pStyle w:val="ListParagraph"/>
        <w:ind w:left="284"/>
        <w:rPr>
          <w:b/>
        </w:rPr>
      </w:pPr>
    </w:p>
    <w:p w14:paraId="40BD6423" w14:textId="77777777" w:rsidR="0039040B" w:rsidRDefault="0039040B" w:rsidP="0039040B">
      <w:pPr>
        <w:pStyle w:val="ListParagraph"/>
        <w:ind w:left="284"/>
        <w:rPr>
          <w:b/>
        </w:rPr>
      </w:pPr>
    </w:p>
    <w:p w14:paraId="3CB77C70" w14:textId="77777777" w:rsidR="0039040B" w:rsidRDefault="0039040B" w:rsidP="0039040B">
      <w:pPr>
        <w:pStyle w:val="ListParagraph"/>
        <w:ind w:left="284"/>
        <w:rPr>
          <w:b/>
        </w:rPr>
      </w:pPr>
    </w:p>
    <w:p w14:paraId="662DB9D7" w14:textId="77777777" w:rsidR="0039040B" w:rsidRDefault="0039040B" w:rsidP="0039040B">
      <w:pPr>
        <w:pStyle w:val="ListParagraph"/>
        <w:ind w:left="284"/>
        <w:rPr>
          <w:b/>
        </w:rPr>
      </w:pPr>
    </w:p>
    <w:p w14:paraId="033F4F31" w14:textId="0ED4160B" w:rsidR="0039040B" w:rsidRDefault="0039040B" w:rsidP="0039040B">
      <w:pPr>
        <w:pStyle w:val="ListParagraph"/>
        <w:ind w:left="284"/>
        <w:rPr>
          <w:b/>
        </w:rPr>
      </w:pPr>
      <w:r>
        <w:rPr>
          <w:b/>
        </w:rPr>
        <w:t xml:space="preserve">Appendix B: Comparison of FinTech Activities by Jurisdiction </w:t>
      </w:r>
    </w:p>
    <w:p w14:paraId="2ECDB55D" w14:textId="77777777" w:rsidR="0039040B" w:rsidRDefault="0039040B" w:rsidP="0039040B">
      <w:pPr>
        <w:pStyle w:val="ListParagraph"/>
        <w:ind w:left="284"/>
        <w:rPr>
          <w:b/>
        </w:rPr>
      </w:pPr>
    </w:p>
    <w:tbl>
      <w:tblPr>
        <w:tblStyle w:val="TableGrid"/>
        <w:tblW w:w="11859" w:type="dxa"/>
        <w:tblInd w:w="284" w:type="dxa"/>
        <w:tblLayout w:type="fixed"/>
        <w:tblLook w:val="04A0" w:firstRow="1" w:lastRow="0" w:firstColumn="1" w:lastColumn="0" w:noHBand="0" w:noVBand="1"/>
      </w:tblPr>
      <w:tblGrid>
        <w:gridCol w:w="1701"/>
        <w:gridCol w:w="1701"/>
        <w:gridCol w:w="1701"/>
        <w:gridCol w:w="1701"/>
        <w:gridCol w:w="1701"/>
        <w:gridCol w:w="1701"/>
        <w:gridCol w:w="1653"/>
      </w:tblGrid>
      <w:tr w:rsidR="008A13E3" w14:paraId="20579B28" w14:textId="77777777" w:rsidTr="008A13E3">
        <w:tc>
          <w:tcPr>
            <w:tcW w:w="11859" w:type="dxa"/>
            <w:gridSpan w:val="7"/>
          </w:tcPr>
          <w:p w14:paraId="12173BA3" w14:textId="6D97AE19" w:rsidR="008A13E3" w:rsidRDefault="008A13E3" w:rsidP="00975E44">
            <w:pPr>
              <w:pStyle w:val="ListParagraph"/>
              <w:ind w:left="0"/>
              <w:jc w:val="center"/>
              <w:rPr>
                <w:b/>
              </w:rPr>
            </w:pPr>
            <w:r>
              <w:rPr>
                <w:b/>
              </w:rPr>
              <w:t>FinTech Activities by Jurisdiction</w:t>
            </w:r>
          </w:p>
        </w:tc>
      </w:tr>
      <w:tr w:rsidR="008A13E3" w14:paraId="759577A2" w14:textId="77777777" w:rsidTr="008A13E3">
        <w:tc>
          <w:tcPr>
            <w:tcW w:w="1701" w:type="dxa"/>
          </w:tcPr>
          <w:p w14:paraId="71CE551D" w14:textId="77777777" w:rsidR="008A13E3" w:rsidRDefault="008A13E3" w:rsidP="00975E44">
            <w:pPr>
              <w:pStyle w:val="ListParagraph"/>
              <w:ind w:left="0"/>
              <w:jc w:val="center"/>
              <w:rPr>
                <w:b/>
              </w:rPr>
            </w:pPr>
            <w:r>
              <w:rPr>
                <w:b/>
              </w:rPr>
              <w:t>Treasury, Australia</w:t>
            </w:r>
          </w:p>
        </w:tc>
        <w:tc>
          <w:tcPr>
            <w:tcW w:w="1701" w:type="dxa"/>
          </w:tcPr>
          <w:p w14:paraId="13A44115" w14:textId="77777777" w:rsidR="008A13E3" w:rsidRDefault="008A13E3" w:rsidP="00975E44">
            <w:pPr>
              <w:pStyle w:val="ListParagraph"/>
              <w:ind w:left="0"/>
              <w:jc w:val="center"/>
              <w:rPr>
                <w:b/>
              </w:rPr>
            </w:pPr>
            <w:r>
              <w:rPr>
                <w:b/>
              </w:rPr>
              <w:t>Treasury, UK</w:t>
            </w:r>
          </w:p>
        </w:tc>
        <w:tc>
          <w:tcPr>
            <w:tcW w:w="1701" w:type="dxa"/>
          </w:tcPr>
          <w:p w14:paraId="1F618CBC" w14:textId="77777777" w:rsidR="008A13E3" w:rsidRDefault="008A13E3" w:rsidP="00975E44">
            <w:pPr>
              <w:pStyle w:val="ListParagraph"/>
              <w:ind w:left="0"/>
              <w:jc w:val="center"/>
              <w:rPr>
                <w:b/>
              </w:rPr>
            </w:pPr>
            <w:r>
              <w:rPr>
                <w:b/>
              </w:rPr>
              <w:t>Hong Kong</w:t>
            </w:r>
          </w:p>
        </w:tc>
        <w:tc>
          <w:tcPr>
            <w:tcW w:w="1701" w:type="dxa"/>
          </w:tcPr>
          <w:p w14:paraId="7C60D46C" w14:textId="77777777" w:rsidR="008A13E3" w:rsidRDefault="008A13E3" w:rsidP="00975E44">
            <w:pPr>
              <w:pStyle w:val="ListParagraph"/>
              <w:ind w:left="0"/>
              <w:jc w:val="center"/>
              <w:rPr>
                <w:b/>
              </w:rPr>
            </w:pPr>
            <w:r>
              <w:rPr>
                <w:b/>
              </w:rPr>
              <w:t>Singapore</w:t>
            </w:r>
          </w:p>
        </w:tc>
        <w:tc>
          <w:tcPr>
            <w:tcW w:w="1701" w:type="dxa"/>
          </w:tcPr>
          <w:p w14:paraId="29C2220E" w14:textId="77777777" w:rsidR="008A13E3" w:rsidRDefault="008A13E3" w:rsidP="00975E44">
            <w:pPr>
              <w:pStyle w:val="ListParagraph"/>
              <w:ind w:left="0"/>
              <w:jc w:val="center"/>
              <w:rPr>
                <w:b/>
              </w:rPr>
            </w:pPr>
            <w:r>
              <w:rPr>
                <w:b/>
              </w:rPr>
              <w:t>EU</w:t>
            </w:r>
          </w:p>
        </w:tc>
        <w:tc>
          <w:tcPr>
            <w:tcW w:w="1701" w:type="dxa"/>
          </w:tcPr>
          <w:p w14:paraId="17A13F71" w14:textId="77777777" w:rsidR="008A13E3" w:rsidRDefault="008A13E3" w:rsidP="00975E44">
            <w:pPr>
              <w:pStyle w:val="ListParagraph"/>
              <w:ind w:left="0"/>
              <w:jc w:val="center"/>
              <w:rPr>
                <w:b/>
              </w:rPr>
            </w:pPr>
            <w:r>
              <w:rPr>
                <w:b/>
              </w:rPr>
              <w:t>Germany</w:t>
            </w:r>
          </w:p>
        </w:tc>
        <w:tc>
          <w:tcPr>
            <w:tcW w:w="1653" w:type="dxa"/>
          </w:tcPr>
          <w:p w14:paraId="200B890D" w14:textId="77777777" w:rsidR="008A13E3" w:rsidRDefault="008A13E3" w:rsidP="00975E44">
            <w:pPr>
              <w:pStyle w:val="ListParagraph"/>
              <w:ind w:left="0"/>
              <w:jc w:val="center"/>
              <w:rPr>
                <w:b/>
              </w:rPr>
            </w:pPr>
            <w:r>
              <w:rPr>
                <w:b/>
              </w:rPr>
              <w:t>Switzerland</w:t>
            </w:r>
          </w:p>
        </w:tc>
      </w:tr>
      <w:tr w:rsidR="008A13E3" w14:paraId="791A2D7B" w14:textId="77777777" w:rsidTr="008A13E3">
        <w:tc>
          <w:tcPr>
            <w:tcW w:w="1701" w:type="dxa"/>
          </w:tcPr>
          <w:p w14:paraId="67EAA516" w14:textId="399F53D1" w:rsidR="008A13E3" w:rsidRDefault="008A13E3" w:rsidP="0039040B">
            <w:pPr>
              <w:pStyle w:val="ListParagraph"/>
              <w:numPr>
                <w:ilvl w:val="0"/>
                <w:numId w:val="29"/>
              </w:numPr>
              <w:ind w:left="185" w:hanging="185"/>
            </w:pPr>
            <w:r>
              <w:t>Peer-to-peer lenders</w:t>
            </w:r>
          </w:p>
          <w:p w14:paraId="2FCC32B5" w14:textId="77777777" w:rsidR="008A13E3" w:rsidRPr="00B64A9F" w:rsidRDefault="008A13E3" w:rsidP="0039040B">
            <w:pPr>
              <w:pStyle w:val="ListParagraph"/>
              <w:numPr>
                <w:ilvl w:val="0"/>
                <w:numId w:val="29"/>
              </w:numPr>
              <w:ind w:left="185" w:hanging="185"/>
            </w:pPr>
            <w:r w:rsidRPr="00937FED">
              <w:t>Primary banking accounts and payments</w:t>
            </w:r>
          </w:p>
        </w:tc>
        <w:tc>
          <w:tcPr>
            <w:tcW w:w="1701" w:type="dxa"/>
          </w:tcPr>
          <w:p w14:paraId="47C20AF1" w14:textId="73B8E333" w:rsidR="008A13E3" w:rsidRPr="00B64A9F" w:rsidRDefault="008A13E3" w:rsidP="0039040B">
            <w:pPr>
              <w:pStyle w:val="ListParagraph"/>
              <w:numPr>
                <w:ilvl w:val="0"/>
                <w:numId w:val="29"/>
              </w:numPr>
              <w:ind w:left="185" w:hanging="185"/>
            </w:pPr>
            <w:r>
              <w:t>Credit and lending</w:t>
            </w:r>
          </w:p>
          <w:p w14:paraId="7A2A9A70" w14:textId="172B13F9" w:rsidR="008A13E3" w:rsidRPr="00B64A9F" w:rsidRDefault="008A13E3" w:rsidP="0039040B">
            <w:pPr>
              <w:pStyle w:val="ListParagraph"/>
              <w:numPr>
                <w:ilvl w:val="0"/>
                <w:numId w:val="29"/>
              </w:numPr>
              <w:ind w:left="185" w:hanging="185"/>
            </w:pPr>
            <w:r w:rsidRPr="00B64A9F">
              <w:t>Banking and payments</w:t>
            </w:r>
          </w:p>
          <w:p w14:paraId="4F73A130" w14:textId="77777777" w:rsidR="008A13E3" w:rsidRPr="00B64A9F" w:rsidRDefault="008A13E3" w:rsidP="00975E44">
            <w:pPr>
              <w:pStyle w:val="ListParagraph"/>
              <w:ind w:left="185"/>
              <w:rPr>
                <w:b/>
              </w:rPr>
            </w:pPr>
          </w:p>
        </w:tc>
        <w:tc>
          <w:tcPr>
            <w:tcW w:w="1701" w:type="dxa"/>
          </w:tcPr>
          <w:p w14:paraId="21FB9ADC" w14:textId="703669C9" w:rsidR="008A13E3" w:rsidRPr="00B64A9F" w:rsidRDefault="008A13E3" w:rsidP="00055F6B">
            <w:pPr>
              <w:pStyle w:val="ListParagraph"/>
              <w:numPr>
                <w:ilvl w:val="0"/>
                <w:numId w:val="29"/>
              </w:numPr>
              <w:ind w:left="129" w:hanging="141"/>
              <w:rPr>
                <w:b/>
              </w:rPr>
            </w:pPr>
            <w:r w:rsidRPr="00B64A9F">
              <w:t>Peer-to-peer financing platforms</w:t>
            </w:r>
          </w:p>
        </w:tc>
        <w:tc>
          <w:tcPr>
            <w:tcW w:w="1701" w:type="dxa"/>
          </w:tcPr>
          <w:p w14:paraId="4C70BD64" w14:textId="6AA9EFE0" w:rsidR="008A13E3" w:rsidRPr="00B64A9F" w:rsidRDefault="008A13E3" w:rsidP="0039040B">
            <w:pPr>
              <w:pStyle w:val="ListParagraph"/>
              <w:numPr>
                <w:ilvl w:val="0"/>
                <w:numId w:val="29"/>
              </w:numPr>
              <w:ind w:left="104" w:hanging="142"/>
              <w:rPr>
                <w:b/>
              </w:rPr>
            </w:pPr>
            <w:r w:rsidRPr="00B64A9F">
              <w:t>P2P lending platforms</w:t>
            </w:r>
          </w:p>
        </w:tc>
        <w:tc>
          <w:tcPr>
            <w:tcW w:w="1701" w:type="dxa"/>
          </w:tcPr>
          <w:p w14:paraId="1C1E8C82" w14:textId="14645BF7" w:rsidR="008A13E3" w:rsidRPr="00B64A9F" w:rsidRDefault="008A13E3" w:rsidP="00975E44">
            <w:pPr>
              <w:pStyle w:val="ListParagraph"/>
              <w:ind w:left="0"/>
              <w:rPr>
                <w:b/>
              </w:rPr>
            </w:pPr>
            <w:r w:rsidRPr="00B64A9F">
              <w:t>Financing, payments, and infrastructure</w:t>
            </w:r>
          </w:p>
        </w:tc>
        <w:tc>
          <w:tcPr>
            <w:tcW w:w="1701" w:type="dxa"/>
          </w:tcPr>
          <w:p w14:paraId="5B010F46" w14:textId="6928C24F" w:rsidR="008A13E3" w:rsidRPr="00B64A9F" w:rsidRDefault="008A13E3" w:rsidP="0039040B">
            <w:pPr>
              <w:pStyle w:val="ListParagraph"/>
              <w:numPr>
                <w:ilvl w:val="0"/>
                <w:numId w:val="29"/>
              </w:numPr>
              <w:ind w:left="203" w:hanging="203"/>
            </w:pPr>
            <w:r w:rsidRPr="00B64A9F">
              <w:t>Automated financing advice</w:t>
            </w:r>
          </w:p>
          <w:p w14:paraId="52B3C52C" w14:textId="77777777" w:rsidR="008A13E3" w:rsidRPr="00B64A9F" w:rsidRDefault="008A13E3" w:rsidP="00975E44">
            <w:pPr>
              <w:pStyle w:val="ListParagraph"/>
              <w:ind w:left="0"/>
              <w:rPr>
                <w:b/>
              </w:rPr>
            </w:pPr>
          </w:p>
        </w:tc>
        <w:tc>
          <w:tcPr>
            <w:tcW w:w="1653" w:type="dxa"/>
          </w:tcPr>
          <w:p w14:paraId="55A01388" w14:textId="77777777" w:rsidR="008A13E3" w:rsidRPr="00B64A9F" w:rsidRDefault="008A13E3" w:rsidP="00975E44">
            <w:pPr>
              <w:pStyle w:val="ListParagraph"/>
              <w:ind w:left="0"/>
              <w:rPr>
                <w:b/>
              </w:rPr>
            </w:pPr>
            <w:r w:rsidRPr="00B64A9F">
              <w:rPr>
                <w:b/>
              </w:rPr>
              <w:t>N/A</w:t>
            </w:r>
          </w:p>
        </w:tc>
      </w:tr>
      <w:tr w:rsidR="008A13E3" w14:paraId="786AF785" w14:textId="77777777" w:rsidTr="008A13E3">
        <w:tc>
          <w:tcPr>
            <w:tcW w:w="1701" w:type="dxa"/>
          </w:tcPr>
          <w:p w14:paraId="3B151D52" w14:textId="34C8D1F3" w:rsidR="008A13E3" w:rsidRPr="00B64A9F" w:rsidRDefault="008A13E3" w:rsidP="0039040B">
            <w:pPr>
              <w:pStyle w:val="ListParagraph"/>
              <w:numPr>
                <w:ilvl w:val="0"/>
                <w:numId w:val="29"/>
              </w:numPr>
              <w:ind w:left="185" w:hanging="185"/>
            </w:pPr>
            <w:r w:rsidRPr="00B64A9F">
              <w:t>Insurance</w:t>
            </w:r>
          </w:p>
        </w:tc>
        <w:tc>
          <w:tcPr>
            <w:tcW w:w="1701" w:type="dxa"/>
          </w:tcPr>
          <w:p w14:paraId="3412AE5A" w14:textId="056ACB2D" w:rsidR="008A13E3" w:rsidRPr="00B64A9F" w:rsidRDefault="008A13E3" w:rsidP="0039040B">
            <w:pPr>
              <w:pStyle w:val="ListParagraph"/>
              <w:numPr>
                <w:ilvl w:val="0"/>
                <w:numId w:val="29"/>
              </w:numPr>
              <w:ind w:left="185" w:hanging="185"/>
            </w:pPr>
            <w:r w:rsidRPr="00B64A9F">
              <w:t>Insurance</w:t>
            </w:r>
          </w:p>
        </w:tc>
        <w:tc>
          <w:tcPr>
            <w:tcW w:w="1701" w:type="dxa"/>
          </w:tcPr>
          <w:p w14:paraId="4BB78B2F" w14:textId="77777777" w:rsidR="008A13E3" w:rsidRPr="00B64A9F" w:rsidRDefault="008A13E3" w:rsidP="00975E44">
            <w:pPr>
              <w:pStyle w:val="ListParagraph"/>
              <w:ind w:left="0"/>
              <w:rPr>
                <w:b/>
              </w:rPr>
            </w:pPr>
            <w:r w:rsidRPr="00B64A9F">
              <w:rPr>
                <w:b/>
              </w:rPr>
              <w:t>N/A</w:t>
            </w:r>
          </w:p>
        </w:tc>
        <w:tc>
          <w:tcPr>
            <w:tcW w:w="1701" w:type="dxa"/>
          </w:tcPr>
          <w:p w14:paraId="5B6377C5" w14:textId="77777777" w:rsidR="008A13E3" w:rsidRPr="00B64A9F" w:rsidRDefault="008A13E3" w:rsidP="00975E44">
            <w:pPr>
              <w:pStyle w:val="ListParagraph"/>
              <w:ind w:left="0"/>
              <w:rPr>
                <w:b/>
              </w:rPr>
            </w:pPr>
            <w:r w:rsidRPr="00B64A9F">
              <w:rPr>
                <w:b/>
              </w:rPr>
              <w:t>N/A</w:t>
            </w:r>
          </w:p>
        </w:tc>
        <w:tc>
          <w:tcPr>
            <w:tcW w:w="1701" w:type="dxa"/>
          </w:tcPr>
          <w:p w14:paraId="11F69769" w14:textId="77777777" w:rsidR="008A13E3" w:rsidRPr="00B64A9F" w:rsidRDefault="008A13E3" w:rsidP="00975E44">
            <w:pPr>
              <w:pStyle w:val="ListParagraph"/>
              <w:ind w:left="0"/>
              <w:rPr>
                <w:b/>
              </w:rPr>
            </w:pPr>
            <w:r w:rsidRPr="00B64A9F">
              <w:rPr>
                <w:b/>
              </w:rPr>
              <w:t>N/A</w:t>
            </w:r>
          </w:p>
        </w:tc>
        <w:tc>
          <w:tcPr>
            <w:tcW w:w="1701" w:type="dxa"/>
          </w:tcPr>
          <w:p w14:paraId="3C1B5EA0" w14:textId="5BB337A6" w:rsidR="008A13E3" w:rsidRPr="00B64A9F" w:rsidRDefault="008A13E3" w:rsidP="0039040B">
            <w:pPr>
              <w:pStyle w:val="ListParagraph"/>
              <w:numPr>
                <w:ilvl w:val="0"/>
                <w:numId w:val="29"/>
              </w:numPr>
              <w:ind w:left="203" w:hanging="203"/>
            </w:pPr>
            <w:r w:rsidRPr="00B64A9F">
              <w:t>Insurance</w:t>
            </w:r>
          </w:p>
        </w:tc>
        <w:tc>
          <w:tcPr>
            <w:tcW w:w="1653" w:type="dxa"/>
          </w:tcPr>
          <w:p w14:paraId="010A04E8" w14:textId="77777777" w:rsidR="008A13E3" w:rsidRPr="00B64A9F" w:rsidRDefault="008A13E3" w:rsidP="00975E44">
            <w:pPr>
              <w:pStyle w:val="ListParagraph"/>
              <w:ind w:left="0"/>
              <w:rPr>
                <w:b/>
              </w:rPr>
            </w:pPr>
            <w:r w:rsidRPr="00B64A9F">
              <w:rPr>
                <w:b/>
              </w:rPr>
              <w:t>N/A</w:t>
            </w:r>
          </w:p>
        </w:tc>
      </w:tr>
      <w:tr w:rsidR="008A13E3" w14:paraId="6EB3853B" w14:textId="77777777" w:rsidTr="008A13E3">
        <w:tc>
          <w:tcPr>
            <w:tcW w:w="1701" w:type="dxa"/>
          </w:tcPr>
          <w:p w14:paraId="28E4222E" w14:textId="451C88D7" w:rsidR="008A13E3" w:rsidRPr="00937FED" w:rsidRDefault="0028070C" w:rsidP="0039040B">
            <w:pPr>
              <w:pStyle w:val="ListParagraph"/>
              <w:numPr>
                <w:ilvl w:val="0"/>
                <w:numId w:val="29"/>
              </w:numPr>
              <w:ind w:left="175" w:hanging="175"/>
              <w:rPr>
                <w:b/>
              </w:rPr>
            </w:pPr>
            <w:r>
              <w:br w:type="page"/>
            </w:r>
            <w:r w:rsidR="008A13E3">
              <w:t>Mobile payments</w:t>
            </w:r>
          </w:p>
          <w:p w14:paraId="53000811" w14:textId="77777777" w:rsidR="008A13E3" w:rsidRPr="00B64A9F" w:rsidRDefault="008A13E3" w:rsidP="00975E44">
            <w:pPr>
              <w:pStyle w:val="ListParagraph"/>
              <w:ind w:left="175"/>
              <w:rPr>
                <w:b/>
              </w:rPr>
            </w:pPr>
          </w:p>
        </w:tc>
        <w:tc>
          <w:tcPr>
            <w:tcW w:w="1701" w:type="dxa"/>
          </w:tcPr>
          <w:p w14:paraId="43424759" w14:textId="77777777" w:rsidR="008A13E3" w:rsidRPr="00B64A9F" w:rsidRDefault="008A13E3" w:rsidP="00975E44">
            <w:pPr>
              <w:pStyle w:val="ListParagraph"/>
              <w:ind w:left="0"/>
              <w:rPr>
                <w:b/>
              </w:rPr>
            </w:pPr>
            <w:r w:rsidRPr="00B64A9F">
              <w:rPr>
                <w:b/>
              </w:rPr>
              <w:t>N/A</w:t>
            </w:r>
          </w:p>
        </w:tc>
        <w:tc>
          <w:tcPr>
            <w:tcW w:w="1701" w:type="dxa"/>
          </w:tcPr>
          <w:p w14:paraId="60B7ECA2" w14:textId="6D013817" w:rsidR="008A13E3" w:rsidRPr="00B64A9F" w:rsidRDefault="008A13E3" w:rsidP="0039040B">
            <w:pPr>
              <w:pStyle w:val="ListParagraph"/>
              <w:numPr>
                <w:ilvl w:val="0"/>
                <w:numId w:val="29"/>
              </w:numPr>
              <w:ind w:left="227" w:hanging="227"/>
            </w:pPr>
            <w:r w:rsidRPr="00B64A9F">
              <w:t>Payments and infrastructure</w:t>
            </w:r>
          </w:p>
          <w:p w14:paraId="0AFDF1C0" w14:textId="77777777" w:rsidR="008A13E3" w:rsidRPr="00B64A9F" w:rsidRDefault="008A13E3" w:rsidP="00975E44">
            <w:pPr>
              <w:pStyle w:val="ListParagraph"/>
              <w:ind w:left="0"/>
              <w:rPr>
                <w:b/>
              </w:rPr>
            </w:pPr>
          </w:p>
        </w:tc>
        <w:tc>
          <w:tcPr>
            <w:tcW w:w="1701" w:type="dxa"/>
          </w:tcPr>
          <w:p w14:paraId="4B2FFFA2" w14:textId="62D1B3C7" w:rsidR="008A13E3" w:rsidRPr="00B64A9F" w:rsidRDefault="008A13E3" w:rsidP="0039040B">
            <w:pPr>
              <w:pStyle w:val="ListParagraph"/>
              <w:numPr>
                <w:ilvl w:val="0"/>
                <w:numId w:val="29"/>
              </w:numPr>
              <w:ind w:left="264" w:hanging="283"/>
              <w:rPr>
                <w:b/>
              </w:rPr>
            </w:pPr>
            <w:r w:rsidRPr="00B64A9F">
              <w:t>E-trading platforms, algorithmic trading</w:t>
            </w:r>
          </w:p>
          <w:p w14:paraId="0B6EBC20" w14:textId="7BF33E4F" w:rsidR="008A13E3" w:rsidRPr="00B64A9F" w:rsidRDefault="008A13E3" w:rsidP="0039040B">
            <w:pPr>
              <w:pStyle w:val="ListParagraph"/>
              <w:numPr>
                <w:ilvl w:val="0"/>
                <w:numId w:val="29"/>
              </w:numPr>
              <w:ind w:left="264" w:hanging="283"/>
              <w:rPr>
                <w:b/>
              </w:rPr>
            </w:pPr>
            <w:r>
              <w:t>Digital payments</w:t>
            </w:r>
          </w:p>
          <w:p w14:paraId="3233DC09" w14:textId="77777777" w:rsidR="008A13E3" w:rsidRPr="00B64A9F" w:rsidRDefault="008A13E3" w:rsidP="00975E44">
            <w:pPr>
              <w:pStyle w:val="ListParagraph"/>
              <w:ind w:left="264"/>
              <w:rPr>
                <w:b/>
              </w:rPr>
            </w:pPr>
          </w:p>
          <w:p w14:paraId="0A8D18E5" w14:textId="77777777" w:rsidR="008A13E3" w:rsidRPr="00B64A9F" w:rsidRDefault="008A13E3" w:rsidP="00975E44">
            <w:pPr>
              <w:pStyle w:val="ListParagraph"/>
              <w:ind w:left="0"/>
              <w:rPr>
                <w:b/>
              </w:rPr>
            </w:pPr>
          </w:p>
        </w:tc>
        <w:tc>
          <w:tcPr>
            <w:tcW w:w="1701" w:type="dxa"/>
          </w:tcPr>
          <w:p w14:paraId="6200B193" w14:textId="77777777" w:rsidR="008A13E3" w:rsidRPr="00B64A9F" w:rsidRDefault="008A13E3" w:rsidP="00975E44">
            <w:pPr>
              <w:pStyle w:val="ListParagraph"/>
              <w:ind w:left="0"/>
              <w:rPr>
                <w:b/>
              </w:rPr>
            </w:pPr>
            <w:r w:rsidRPr="00B64A9F">
              <w:rPr>
                <w:b/>
              </w:rPr>
              <w:t>N/A</w:t>
            </w:r>
          </w:p>
        </w:tc>
        <w:tc>
          <w:tcPr>
            <w:tcW w:w="1701" w:type="dxa"/>
          </w:tcPr>
          <w:p w14:paraId="4FA950EF" w14:textId="21EAC903" w:rsidR="008A13E3" w:rsidRPr="00B64A9F" w:rsidRDefault="008A13E3" w:rsidP="0039040B">
            <w:pPr>
              <w:pStyle w:val="ListParagraph"/>
              <w:numPr>
                <w:ilvl w:val="0"/>
                <w:numId w:val="29"/>
              </w:numPr>
              <w:ind w:left="203" w:hanging="203"/>
            </w:pPr>
            <w:r w:rsidRPr="00B64A9F">
              <w:t>Payment transactions and giro business</w:t>
            </w:r>
          </w:p>
          <w:p w14:paraId="2D92B652" w14:textId="77777777" w:rsidR="008A13E3" w:rsidRPr="00B64A9F" w:rsidRDefault="008A13E3" w:rsidP="00975E44">
            <w:pPr>
              <w:pStyle w:val="ListParagraph"/>
              <w:ind w:left="0"/>
              <w:rPr>
                <w:b/>
              </w:rPr>
            </w:pPr>
          </w:p>
        </w:tc>
        <w:tc>
          <w:tcPr>
            <w:tcW w:w="1653" w:type="dxa"/>
          </w:tcPr>
          <w:p w14:paraId="706924EE" w14:textId="560A14A4" w:rsidR="008A13E3" w:rsidRPr="00B64A9F" w:rsidRDefault="008A13E3" w:rsidP="0039040B">
            <w:pPr>
              <w:pStyle w:val="ListParagraph"/>
              <w:numPr>
                <w:ilvl w:val="0"/>
                <w:numId w:val="29"/>
              </w:numPr>
              <w:spacing w:after="160" w:line="259" w:lineRule="auto"/>
              <w:ind w:left="101" w:hanging="142"/>
            </w:pPr>
            <w:r>
              <w:t>Electronic payment services</w:t>
            </w:r>
          </w:p>
          <w:p w14:paraId="0CBAA0B2" w14:textId="77777777" w:rsidR="008A13E3" w:rsidRPr="00B64A9F" w:rsidRDefault="008A13E3" w:rsidP="00975E44">
            <w:pPr>
              <w:pStyle w:val="ListParagraph"/>
              <w:ind w:left="0"/>
              <w:rPr>
                <w:b/>
              </w:rPr>
            </w:pPr>
          </w:p>
        </w:tc>
      </w:tr>
      <w:tr w:rsidR="008A13E3" w14:paraId="619D67EC" w14:textId="77777777" w:rsidTr="008A13E3">
        <w:tc>
          <w:tcPr>
            <w:tcW w:w="1701" w:type="dxa"/>
          </w:tcPr>
          <w:p w14:paraId="69C1E9E8" w14:textId="3DAA63B8" w:rsidR="008A13E3" w:rsidRPr="00B64A9F" w:rsidRDefault="008A13E3" w:rsidP="0039040B">
            <w:pPr>
              <w:pStyle w:val="ListParagraph"/>
              <w:numPr>
                <w:ilvl w:val="0"/>
                <w:numId w:val="30"/>
              </w:numPr>
              <w:ind w:left="176" w:hanging="176"/>
            </w:pPr>
            <w:r w:rsidRPr="00937FED">
              <w:t>Investment management</w:t>
            </w:r>
          </w:p>
        </w:tc>
        <w:tc>
          <w:tcPr>
            <w:tcW w:w="1701" w:type="dxa"/>
          </w:tcPr>
          <w:p w14:paraId="4F3750D5" w14:textId="46219EAC" w:rsidR="008A13E3" w:rsidRPr="00B64A9F" w:rsidRDefault="008A13E3" w:rsidP="0039040B">
            <w:pPr>
              <w:pStyle w:val="ListParagraph"/>
              <w:numPr>
                <w:ilvl w:val="0"/>
                <w:numId w:val="29"/>
              </w:numPr>
              <w:ind w:left="201" w:hanging="201"/>
              <w:rPr>
                <w:b/>
              </w:rPr>
            </w:pPr>
            <w:r w:rsidRPr="00B64A9F">
              <w:t>Investment management, wholes</w:t>
            </w:r>
            <w:r>
              <w:t xml:space="preserve">ale banking and </w:t>
            </w:r>
            <w:r>
              <w:lastRenderedPageBreak/>
              <w:t>capital markets</w:t>
            </w:r>
          </w:p>
          <w:p w14:paraId="1824D645" w14:textId="1DF04746" w:rsidR="008A13E3" w:rsidRPr="00B64A9F" w:rsidRDefault="008A13E3" w:rsidP="0039040B">
            <w:pPr>
              <w:pStyle w:val="ListParagraph"/>
              <w:numPr>
                <w:ilvl w:val="0"/>
                <w:numId w:val="29"/>
              </w:numPr>
              <w:ind w:left="201" w:hanging="201"/>
              <w:rPr>
                <w:b/>
              </w:rPr>
            </w:pPr>
            <w:r w:rsidRPr="00B64A9F">
              <w:t xml:space="preserve">Retail </w:t>
            </w:r>
            <w:r>
              <w:t>investment and pensions</w:t>
            </w:r>
          </w:p>
        </w:tc>
        <w:tc>
          <w:tcPr>
            <w:tcW w:w="1701" w:type="dxa"/>
          </w:tcPr>
          <w:p w14:paraId="583CD534" w14:textId="12D10DAB" w:rsidR="008A13E3" w:rsidRPr="00B64A9F" w:rsidRDefault="008A13E3" w:rsidP="0039040B">
            <w:pPr>
              <w:pStyle w:val="ListParagraph"/>
              <w:numPr>
                <w:ilvl w:val="0"/>
                <w:numId w:val="29"/>
              </w:numPr>
              <w:ind w:left="227" w:hanging="227"/>
            </w:pPr>
            <w:r w:rsidRPr="00B64A9F">
              <w:lastRenderedPageBreak/>
              <w:t xml:space="preserve">Financial product investment and </w:t>
            </w:r>
            <w:r w:rsidRPr="00B64A9F">
              <w:lastRenderedPageBreak/>
              <w:t>distribution platforms</w:t>
            </w:r>
          </w:p>
          <w:p w14:paraId="30CC1850" w14:textId="77777777" w:rsidR="008A13E3" w:rsidRPr="00B64A9F" w:rsidRDefault="008A13E3" w:rsidP="00975E44">
            <w:pPr>
              <w:pStyle w:val="ListParagraph"/>
              <w:ind w:left="0"/>
              <w:rPr>
                <w:b/>
              </w:rPr>
            </w:pPr>
          </w:p>
        </w:tc>
        <w:tc>
          <w:tcPr>
            <w:tcW w:w="1701" w:type="dxa"/>
          </w:tcPr>
          <w:p w14:paraId="20CD8889" w14:textId="77777777" w:rsidR="008A13E3" w:rsidRPr="00B64A9F" w:rsidRDefault="008A13E3" w:rsidP="00975E44">
            <w:pPr>
              <w:pStyle w:val="ListParagraph"/>
              <w:ind w:left="0"/>
              <w:rPr>
                <w:b/>
              </w:rPr>
            </w:pPr>
            <w:r w:rsidRPr="00B64A9F">
              <w:rPr>
                <w:b/>
              </w:rPr>
              <w:lastRenderedPageBreak/>
              <w:t>N/A</w:t>
            </w:r>
          </w:p>
        </w:tc>
        <w:tc>
          <w:tcPr>
            <w:tcW w:w="1701" w:type="dxa"/>
          </w:tcPr>
          <w:p w14:paraId="07FBB096" w14:textId="77777777" w:rsidR="008A13E3" w:rsidRPr="00B64A9F" w:rsidRDefault="008A13E3" w:rsidP="00975E44">
            <w:pPr>
              <w:pStyle w:val="ListParagraph"/>
              <w:ind w:left="0"/>
              <w:rPr>
                <w:b/>
              </w:rPr>
            </w:pPr>
            <w:r w:rsidRPr="00B64A9F">
              <w:rPr>
                <w:b/>
              </w:rPr>
              <w:t>N/A</w:t>
            </w:r>
          </w:p>
        </w:tc>
        <w:tc>
          <w:tcPr>
            <w:tcW w:w="1701" w:type="dxa"/>
          </w:tcPr>
          <w:p w14:paraId="5DB22289" w14:textId="77777777" w:rsidR="008A13E3" w:rsidRPr="00B64A9F" w:rsidRDefault="008A13E3" w:rsidP="00975E44">
            <w:pPr>
              <w:pStyle w:val="ListParagraph"/>
              <w:ind w:left="0"/>
              <w:rPr>
                <w:b/>
              </w:rPr>
            </w:pPr>
            <w:r w:rsidRPr="00B64A9F">
              <w:rPr>
                <w:b/>
              </w:rPr>
              <w:t>N/A</w:t>
            </w:r>
          </w:p>
        </w:tc>
        <w:tc>
          <w:tcPr>
            <w:tcW w:w="1653" w:type="dxa"/>
          </w:tcPr>
          <w:p w14:paraId="15E3DCE1" w14:textId="77777777" w:rsidR="008A13E3" w:rsidRPr="00B64A9F" w:rsidRDefault="008A13E3" w:rsidP="00975E44">
            <w:pPr>
              <w:pStyle w:val="ListParagraph"/>
              <w:ind w:left="0"/>
              <w:rPr>
                <w:b/>
              </w:rPr>
            </w:pPr>
            <w:r w:rsidRPr="00B64A9F">
              <w:rPr>
                <w:b/>
              </w:rPr>
              <w:t>N/A</w:t>
            </w:r>
          </w:p>
        </w:tc>
      </w:tr>
      <w:tr w:rsidR="008A13E3" w14:paraId="24308DFE" w14:textId="77777777" w:rsidTr="008A13E3">
        <w:tc>
          <w:tcPr>
            <w:tcW w:w="1701" w:type="dxa"/>
          </w:tcPr>
          <w:p w14:paraId="5820DFAD" w14:textId="77777777" w:rsidR="008A13E3" w:rsidRPr="00937FED" w:rsidRDefault="008A13E3" w:rsidP="0039040B">
            <w:pPr>
              <w:pStyle w:val="ListParagraph"/>
              <w:numPr>
                <w:ilvl w:val="0"/>
                <w:numId w:val="29"/>
              </w:numPr>
              <w:ind w:left="175" w:hanging="175"/>
              <w:rPr>
                <w:b/>
              </w:rPr>
            </w:pPr>
            <w:r>
              <w:t>Digital currencies</w:t>
            </w:r>
          </w:p>
          <w:p w14:paraId="0031C4E5" w14:textId="197ED4EC" w:rsidR="008A13E3" w:rsidRPr="00937FED" w:rsidRDefault="008A13E3" w:rsidP="0039040B">
            <w:pPr>
              <w:pStyle w:val="ListParagraph"/>
              <w:numPr>
                <w:ilvl w:val="0"/>
                <w:numId w:val="29"/>
              </w:numPr>
              <w:ind w:left="175" w:hanging="175"/>
              <w:rPr>
                <w:b/>
              </w:rPr>
            </w:pPr>
            <w:r>
              <w:t>Crowdfunding</w:t>
            </w:r>
          </w:p>
          <w:p w14:paraId="105B3EE4" w14:textId="31BB2180" w:rsidR="008A13E3" w:rsidRPr="00937FED" w:rsidRDefault="008A13E3" w:rsidP="0039040B">
            <w:pPr>
              <w:pStyle w:val="ListParagraph"/>
              <w:numPr>
                <w:ilvl w:val="0"/>
                <w:numId w:val="29"/>
              </w:numPr>
              <w:ind w:left="175" w:hanging="175"/>
              <w:rPr>
                <w:b/>
              </w:rPr>
            </w:pPr>
            <w:r w:rsidRPr="00937FED">
              <w:t>Capital markets</w:t>
            </w:r>
          </w:p>
          <w:p w14:paraId="17885F10" w14:textId="77777777" w:rsidR="008A13E3" w:rsidRPr="003302A9" w:rsidRDefault="008A13E3" w:rsidP="00975E44">
            <w:pPr>
              <w:pStyle w:val="ListParagraph"/>
              <w:ind w:left="175"/>
              <w:rPr>
                <w:b/>
              </w:rPr>
            </w:pPr>
          </w:p>
        </w:tc>
        <w:tc>
          <w:tcPr>
            <w:tcW w:w="1701" w:type="dxa"/>
          </w:tcPr>
          <w:p w14:paraId="65B3AD6D" w14:textId="77777777" w:rsidR="008A13E3" w:rsidRPr="00B64A9F" w:rsidRDefault="008A13E3" w:rsidP="00975E44">
            <w:pPr>
              <w:rPr>
                <w:b/>
              </w:rPr>
            </w:pPr>
            <w:r w:rsidRPr="00B64A9F">
              <w:rPr>
                <w:b/>
              </w:rPr>
              <w:t>N/A</w:t>
            </w:r>
          </w:p>
        </w:tc>
        <w:tc>
          <w:tcPr>
            <w:tcW w:w="1701" w:type="dxa"/>
          </w:tcPr>
          <w:p w14:paraId="39111EF9" w14:textId="47D96D56" w:rsidR="008A13E3" w:rsidRPr="00B64A9F" w:rsidRDefault="008A13E3" w:rsidP="0039040B">
            <w:pPr>
              <w:pStyle w:val="ListParagraph"/>
              <w:numPr>
                <w:ilvl w:val="0"/>
                <w:numId w:val="29"/>
              </w:numPr>
              <w:ind w:left="227" w:hanging="227"/>
            </w:pPr>
            <w:r w:rsidRPr="00B64A9F">
              <w:t>Big data and data analytics to support both front-office and back-office operations</w:t>
            </w:r>
          </w:p>
          <w:p w14:paraId="60DE037B" w14:textId="7300F514" w:rsidR="008A13E3" w:rsidRPr="00B64A9F" w:rsidRDefault="008A13E3" w:rsidP="0039040B">
            <w:pPr>
              <w:pStyle w:val="ListParagraph"/>
              <w:numPr>
                <w:ilvl w:val="0"/>
                <w:numId w:val="29"/>
              </w:numPr>
              <w:ind w:left="227" w:hanging="227"/>
            </w:pPr>
            <w:r w:rsidRPr="00B64A9F">
              <w:t>Customer interface</w:t>
            </w:r>
          </w:p>
          <w:p w14:paraId="40387B65" w14:textId="739C9F63" w:rsidR="008A13E3" w:rsidRPr="00B64A9F" w:rsidRDefault="008A13E3" w:rsidP="0039040B">
            <w:pPr>
              <w:pStyle w:val="ListParagraph"/>
              <w:numPr>
                <w:ilvl w:val="0"/>
                <w:numId w:val="29"/>
              </w:numPr>
              <w:ind w:left="227" w:hanging="227"/>
            </w:pPr>
            <w:r w:rsidRPr="00B64A9F">
              <w:t>Cybersecurity and data security monetisation</w:t>
            </w:r>
          </w:p>
          <w:p w14:paraId="51E2B93E" w14:textId="5A9B9C9D" w:rsidR="008A13E3" w:rsidRPr="00B64A9F" w:rsidRDefault="008A13E3" w:rsidP="0039040B">
            <w:pPr>
              <w:pStyle w:val="ListParagraph"/>
              <w:numPr>
                <w:ilvl w:val="0"/>
                <w:numId w:val="29"/>
              </w:numPr>
              <w:ind w:left="227" w:hanging="227"/>
            </w:pPr>
            <w:r w:rsidRPr="00B64A9F">
              <w:t>Digital payment and remittance</w:t>
            </w:r>
          </w:p>
          <w:p w14:paraId="01E95A6A" w14:textId="4A8E218F" w:rsidR="008A13E3" w:rsidRDefault="008A13E3" w:rsidP="0039040B">
            <w:pPr>
              <w:pStyle w:val="ListParagraph"/>
              <w:numPr>
                <w:ilvl w:val="0"/>
                <w:numId w:val="29"/>
              </w:numPr>
              <w:ind w:left="227" w:hanging="227"/>
            </w:pPr>
            <w:r w:rsidRPr="00B64A9F">
              <w:t>Distributed le</w:t>
            </w:r>
            <w:r>
              <w:t>d</w:t>
            </w:r>
            <w:r w:rsidRPr="00B64A9F">
              <w:t>ger application to new asset classes and processes</w:t>
            </w:r>
          </w:p>
          <w:p w14:paraId="703E54A5" w14:textId="49AA57D2" w:rsidR="008A13E3" w:rsidRPr="00B64A9F" w:rsidRDefault="008A13E3" w:rsidP="0039040B">
            <w:pPr>
              <w:pStyle w:val="ListParagraph"/>
              <w:numPr>
                <w:ilvl w:val="0"/>
                <w:numId w:val="29"/>
              </w:numPr>
              <w:ind w:left="227" w:hanging="227"/>
            </w:pPr>
            <w:r w:rsidRPr="00B64A9F">
              <w:lastRenderedPageBreak/>
              <w:t>Operations and risk management</w:t>
            </w:r>
          </w:p>
          <w:p w14:paraId="22422A5E" w14:textId="72E287F3" w:rsidR="008A13E3" w:rsidRPr="00B64A9F" w:rsidRDefault="008A13E3" w:rsidP="0039040B">
            <w:pPr>
              <w:pStyle w:val="ListParagraph"/>
              <w:numPr>
                <w:ilvl w:val="0"/>
                <w:numId w:val="29"/>
              </w:numPr>
              <w:ind w:left="227" w:hanging="227"/>
              <w:rPr>
                <w:b/>
              </w:rPr>
            </w:pPr>
            <w:r>
              <w:t>S</w:t>
            </w:r>
            <w:r w:rsidRPr="00B64A9F">
              <w:t>ecurity technology</w:t>
            </w:r>
          </w:p>
        </w:tc>
        <w:tc>
          <w:tcPr>
            <w:tcW w:w="1701" w:type="dxa"/>
          </w:tcPr>
          <w:p w14:paraId="5F601C42" w14:textId="4A739949" w:rsidR="008A13E3" w:rsidRPr="00B64A9F" w:rsidRDefault="008A13E3" w:rsidP="0039040B">
            <w:pPr>
              <w:pStyle w:val="ListParagraph"/>
              <w:numPr>
                <w:ilvl w:val="0"/>
                <w:numId w:val="29"/>
              </w:numPr>
              <w:ind w:left="264" w:hanging="283"/>
              <w:rPr>
                <w:b/>
              </w:rPr>
            </w:pPr>
            <w:r w:rsidRPr="00B64A9F">
              <w:lastRenderedPageBreak/>
              <w:t>Bl</w:t>
            </w:r>
            <w:r w:rsidR="00055F6B">
              <w:t>o</w:t>
            </w:r>
            <w:r w:rsidRPr="00B64A9F">
              <w:t>ckchains and distributed le</w:t>
            </w:r>
            <w:r w:rsidR="00055F6B">
              <w:t>d</w:t>
            </w:r>
            <w:r w:rsidRPr="00B64A9F">
              <w:t>gers systems</w:t>
            </w:r>
          </w:p>
          <w:p w14:paraId="0528EE17" w14:textId="4FCC6B1F" w:rsidR="008A13E3" w:rsidRPr="00B64A9F" w:rsidRDefault="008A13E3" w:rsidP="0039040B">
            <w:pPr>
              <w:pStyle w:val="ListParagraph"/>
              <w:numPr>
                <w:ilvl w:val="0"/>
                <w:numId w:val="29"/>
              </w:numPr>
              <w:ind w:left="264" w:hanging="283"/>
              <w:rPr>
                <w:b/>
              </w:rPr>
            </w:pPr>
            <w:r>
              <w:t xml:space="preserve">Cloud computing and </w:t>
            </w:r>
            <w:r w:rsidRPr="00B64A9F">
              <w:t>big data</w:t>
            </w:r>
          </w:p>
          <w:p w14:paraId="0E42A13B" w14:textId="77777777" w:rsidR="008A13E3" w:rsidRPr="00B64A9F" w:rsidRDefault="008A13E3" w:rsidP="0039040B">
            <w:pPr>
              <w:pStyle w:val="ListParagraph"/>
              <w:numPr>
                <w:ilvl w:val="0"/>
                <w:numId w:val="29"/>
              </w:numPr>
              <w:ind w:left="264" w:hanging="283"/>
              <w:rPr>
                <w:b/>
              </w:rPr>
            </w:pPr>
            <w:r>
              <w:t>C</w:t>
            </w:r>
            <w:r w:rsidRPr="00B64A9F">
              <w:t>rowdfunding</w:t>
            </w:r>
          </w:p>
          <w:p w14:paraId="2D3002BE" w14:textId="26F7EA35" w:rsidR="008A13E3" w:rsidRPr="00B64A9F" w:rsidRDefault="008A13E3" w:rsidP="0039040B">
            <w:pPr>
              <w:pStyle w:val="ListParagraph"/>
              <w:numPr>
                <w:ilvl w:val="0"/>
                <w:numId w:val="29"/>
              </w:numPr>
              <w:ind w:left="264" w:hanging="283"/>
              <w:rPr>
                <w:b/>
              </w:rPr>
            </w:pPr>
            <w:r w:rsidRPr="00B64A9F">
              <w:t>Digital currencies</w:t>
            </w:r>
          </w:p>
        </w:tc>
        <w:tc>
          <w:tcPr>
            <w:tcW w:w="1701" w:type="dxa"/>
          </w:tcPr>
          <w:p w14:paraId="25E5F03E" w14:textId="3C73F70C" w:rsidR="008A13E3" w:rsidRPr="000A602D" w:rsidRDefault="008A13E3" w:rsidP="0039040B">
            <w:pPr>
              <w:pStyle w:val="ListParagraph"/>
              <w:numPr>
                <w:ilvl w:val="0"/>
                <w:numId w:val="29"/>
              </w:numPr>
              <w:ind w:left="207" w:hanging="207"/>
              <w:rPr>
                <w:b/>
              </w:rPr>
            </w:pPr>
            <w:r w:rsidRPr="00B64A9F">
              <w:t>Customer interface</w:t>
            </w:r>
          </w:p>
          <w:p w14:paraId="013E3D5D" w14:textId="7B445E3F" w:rsidR="008A13E3" w:rsidRPr="00B64A9F" w:rsidRDefault="008A13E3" w:rsidP="0039040B">
            <w:pPr>
              <w:pStyle w:val="ListParagraph"/>
              <w:numPr>
                <w:ilvl w:val="0"/>
                <w:numId w:val="29"/>
              </w:numPr>
              <w:ind w:left="207" w:hanging="207"/>
              <w:rPr>
                <w:b/>
              </w:rPr>
            </w:pPr>
            <w:r w:rsidRPr="00B64A9F">
              <w:t>Data security and monetization</w:t>
            </w:r>
          </w:p>
          <w:p w14:paraId="4BC4CD29" w14:textId="08E08735" w:rsidR="008A13E3" w:rsidRPr="00B64A9F" w:rsidRDefault="008A13E3" w:rsidP="0039040B">
            <w:pPr>
              <w:pStyle w:val="ListParagraph"/>
              <w:numPr>
                <w:ilvl w:val="0"/>
                <w:numId w:val="29"/>
              </w:numPr>
              <w:ind w:left="207" w:hanging="207"/>
              <w:rPr>
                <w:b/>
              </w:rPr>
            </w:pPr>
            <w:r w:rsidRPr="00B64A9F">
              <w:t>Operations and risk management</w:t>
            </w:r>
          </w:p>
        </w:tc>
        <w:tc>
          <w:tcPr>
            <w:tcW w:w="1701" w:type="dxa"/>
          </w:tcPr>
          <w:p w14:paraId="57FF7676" w14:textId="789357FB" w:rsidR="008A13E3" w:rsidRPr="00B64A9F" w:rsidRDefault="008A13E3" w:rsidP="0039040B">
            <w:pPr>
              <w:pStyle w:val="ListParagraph"/>
              <w:numPr>
                <w:ilvl w:val="0"/>
                <w:numId w:val="29"/>
              </w:numPr>
              <w:ind w:left="203" w:hanging="203"/>
            </w:pPr>
            <w:r w:rsidRPr="00B64A9F">
              <w:t>Crowdfunding</w:t>
            </w:r>
          </w:p>
          <w:p w14:paraId="7E7066A1" w14:textId="28AFBA85" w:rsidR="008A13E3" w:rsidRPr="00B64A9F" w:rsidRDefault="008A13E3" w:rsidP="0039040B">
            <w:pPr>
              <w:pStyle w:val="ListParagraph"/>
              <w:numPr>
                <w:ilvl w:val="0"/>
                <w:numId w:val="29"/>
              </w:numPr>
              <w:ind w:left="203" w:hanging="203"/>
              <w:rPr>
                <w:b/>
              </w:rPr>
            </w:pPr>
            <w:r w:rsidRPr="00B64A9F">
              <w:t>Virtual currencies</w:t>
            </w:r>
          </w:p>
        </w:tc>
        <w:tc>
          <w:tcPr>
            <w:tcW w:w="1653" w:type="dxa"/>
          </w:tcPr>
          <w:p w14:paraId="391E1F8E" w14:textId="58F3DF86" w:rsidR="008A13E3" w:rsidRPr="00B64A9F" w:rsidRDefault="008A13E3" w:rsidP="0039040B">
            <w:pPr>
              <w:pStyle w:val="ListParagraph"/>
              <w:numPr>
                <w:ilvl w:val="0"/>
                <w:numId w:val="29"/>
              </w:numPr>
              <w:spacing w:after="160" w:line="259" w:lineRule="auto"/>
              <w:ind w:left="101" w:hanging="142"/>
            </w:pPr>
            <w:r>
              <w:t>Crowdfunding</w:t>
            </w:r>
          </w:p>
          <w:p w14:paraId="53AD682C" w14:textId="20F5058C" w:rsidR="008A13E3" w:rsidRPr="00B64A9F" w:rsidRDefault="008A13E3" w:rsidP="0039040B">
            <w:pPr>
              <w:pStyle w:val="ListParagraph"/>
              <w:numPr>
                <w:ilvl w:val="0"/>
                <w:numId w:val="29"/>
              </w:numPr>
              <w:spacing w:after="160" w:line="259" w:lineRule="auto"/>
              <w:ind w:left="101" w:hanging="142"/>
            </w:pPr>
            <w:r>
              <w:t>Virtual currencies</w:t>
            </w:r>
          </w:p>
          <w:p w14:paraId="3E8234CE" w14:textId="77777777" w:rsidR="008A13E3" w:rsidRPr="00B64A9F" w:rsidRDefault="008A13E3" w:rsidP="00975E44">
            <w:pPr>
              <w:pStyle w:val="ListParagraph"/>
              <w:spacing w:after="160" w:line="259" w:lineRule="auto"/>
              <w:ind w:left="101"/>
              <w:rPr>
                <w:b/>
              </w:rPr>
            </w:pPr>
          </w:p>
        </w:tc>
      </w:tr>
    </w:tbl>
    <w:p w14:paraId="75C403DD" w14:textId="77777777" w:rsidR="0039040B" w:rsidRDefault="0039040B" w:rsidP="0039040B">
      <w:pPr>
        <w:pStyle w:val="ListParagraph"/>
        <w:ind w:left="284"/>
        <w:rPr>
          <w:b/>
        </w:rPr>
      </w:pPr>
    </w:p>
    <w:p w14:paraId="7BD53722" w14:textId="77777777" w:rsidR="0039040B" w:rsidRDefault="0039040B" w:rsidP="0039040B">
      <w:pPr>
        <w:pStyle w:val="ListParagraph"/>
        <w:ind w:left="284"/>
        <w:rPr>
          <w:b/>
        </w:rPr>
      </w:pPr>
    </w:p>
    <w:p w14:paraId="4C9DB7A1" w14:textId="2C3CBE9F" w:rsidR="008542A0" w:rsidRDefault="008542A0" w:rsidP="0039040B">
      <w:pPr>
        <w:pStyle w:val="ListParagraph"/>
        <w:ind w:left="284"/>
      </w:pPr>
    </w:p>
    <w:sectPr w:rsidR="008542A0" w:rsidSect="0082232E">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910C2" w14:textId="77777777" w:rsidR="008542A0" w:rsidRDefault="008542A0">
      <w:r>
        <w:separator/>
      </w:r>
    </w:p>
  </w:endnote>
  <w:endnote w:type="continuationSeparator" w:id="0">
    <w:p w14:paraId="63CB7914" w14:textId="77777777" w:rsidR="008542A0" w:rsidRDefault="00854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utura-Bol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utura-Book">
    <w:altName w:val="Cambria"/>
    <w:panose1 w:val="00000000000000000000"/>
    <w:charset w:val="00"/>
    <w:family w:val="swiss"/>
    <w:notTrueType/>
    <w:pitch w:val="default"/>
    <w:sig w:usb0="00000003" w:usb1="00000000" w:usb2="00000000" w:usb3="00000000" w:csb0="00000001" w:csb1="00000000"/>
  </w:font>
  <w:font w:name="Futura-Light">
    <w:altName w:val="Cambria"/>
    <w:panose1 w:val="00000000000000000000"/>
    <w:charset w:val="00"/>
    <w:family w:val="swiss"/>
    <w:notTrueType/>
    <w:pitch w:val="default"/>
    <w:sig w:usb0="00000003" w:usb1="00000000" w:usb2="00000000" w:usb3="00000000" w:csb0="00000001" w:csb1="00000000"/>
  </w:font>
  <w:font w:name="Futura-LightOblique">
    <w:altName w:val="Cambria"/>
    <w:panose1 w:val="00000000000000000000"/>
    <w:charset w:val="00"/>
    <w:family w:val="swiss"/>
    <w:notTrueType/>
    <w:pitch w:val="default"/>
    <w:sig w:usb0="00000003" w:usb1="00000000" w:usb2="00000000" w:usb3="00000000" w:csb0="00000001" w:csb1="00000000"/>
  </w:font>
  <w:font w:name="Futura-BookOblique">
    <w:altName w:val="Cambria"/>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89766" w14:textId="77777777" w:rsidR="008542A0" w:rsidRDefault="008542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page" w:horzAnchor="page" w:tblpX="821" w:tblpY="15761"/>
      <w:tblW w:w="7514" w:type="dxa"/>
      <w:tblLayout w:type="fixed"/>
      <w:tblCellMar>
        <w:left w:w="0" w:type="dxa"/>
        <w:right w:w="0" w:type="dxa"/>
      </w:tblCellMar>
      <w:tblLook w:val="0000" w:firstRow="0" w:lastRow="0" w:firstColumn="0" w:lastColumn="0" w:noHBand="0" w:noVBand="0"/>
    </w:tblPr>
    <w:tblGrid>
      <w:gridCol w:w="865"/>
      <w:gridCol w:w="6649"/>
    </w:tblGrid>
    <w:tr w:rsidR="008542A0" w14:paraId="048CA130" w14:textId="77777777">
      <w:trPr>
        <w:trHeight w:val="140"/>
      </w:trPr>
      <w:tc>
        <w:tcPr>
          <w:tcW w:w="865" w:type="dxa"/>
        </w:tcPr>
        <w:p w14:paraId="1D4006B1" w14:textId="03D1D8E5" w:rsidR="008542A0" w:rsidRPr="005327DB" w:rsidRDefault="008542A0" w:rsidP="00D72BEA">
          <w:pPr>
            <w:rPr>
              <w:color w:val="BFBFBF"/>
            </w:rPr>
          </w:pPr>
        </w:p>
      </w:tc>
      <w:tc>
        <w:tcPr>
          <w:tcW w:w="6649" w:type="dxa"/>
        </w:tcPr>
        <w:p w14:paraId="3C4D824D" w14:textId="7FA252B7" w:rsidR="008542A0" w:rsidRPr="005327DB" w:rsidRDefault="00AA4986" w:rsidP="00FB4ED6">
          <w:pPr>
            <w:rPr>
              <w:rFonts w:ascii="Arial Bold" w:hAnsi="Arial Bold"/>
              <w:color w:val="BFBFBF"/>
              <w:sz w:val="22"/>
            </w:rPr>
          </w:pPr>
          <w:r w:rsidRPr="00AA4986">
            <w:t>Changing the Criteria of ‘Ineligible Activities’ in the Income Tax Assessment Act 1997</w:t>
          </w:r>
        </w:p>
      </w:tc>
    </w:tr>
  </w:tbl>
  <w:p w14:paraId="2210606B" w14:textId="247A8237" w:rsidR="008542A0" w:rsidRDefault="00AA4986" w:rsidP="00D72BEA">
    <w:r w:rsidRPr="005327DB">
      <w:rPr>
        <w:rFonts w:ascii="Arial Bold" w:hAnsi="Arial Bold"/>
        <w:noProof/>
        <w:color w:val="BFBFBF"/>
      </w:rPr>
      <w:fldChar w:fldCharType="begin"/>
    </w:r>
    <w:r w:rsidRPr="005327DB">
      <w:rPr>
        <w:rFonts w:ascii="Arial Bold" w:hAnsi="Arial Bold"/>
        <w:noProof/>
        <w:color w:val="BFBFBF"/>
      </w:rPr>
      <w:instrText xml:space="preserve"> PAGE </w:instrText>
    </w:r>
    <w:r w:rsidRPr="005327DB">
      <w:rPr>
        <w:rFonts w:ascii="Arial Bold" w:hAnsi="Arial Bold"/>
        <w:noProof/>
        <w:color w:val="BFBFBF"/>
      </w:rPr>
      <w:fldChar w:fldCharType="separate"/>
    </w:r>
    <w:r w:rsidR="000E50D0">
      <w:rPr>
        <w:rFonts w:ascii="Arial Bold" w:hAnsi="Arial Bold"/>
        <w:noProof/>
        <w:color w:val="BFBFBF"/>
      </w:rPr>
      <w:t>4</w:t>
    </w:r>
    <w:r w:rsidRPr="005327DB">
      <w:rPr>
        <w:rFonts w:ascii="Arial Bold" w:hAnsi="Arial Bold"/>
        <w:noProof/>
        <w:color w:val="BFBFBF"/>
      </w:rPr>
      <w:fldChar w:fldCharType="end"/>
    </w:r>
    <w:r w:rsidR="008542A0">
      <w:rPr>
        <w:noProof/>
      </w:rPr>
      <w:drawing>
        <wp:anchor distT="0" distB="0" distL="114300" distR="114300" simplePos="0" relativeHeight="251657728" behindDoc="0" locked="0" layoutInCell="1" allowOverlap="1" wp14:anchorId="260DD4A2" wp14:editId="7BA31A6C">
          <wp:simplePos x="0" y="0"/>
          <wp:positionH relativeFrom="column">
            <wp:posOffset>4267200</wp:posOffset>
          </wp:positionH>
          <wp:positionV relativeFrom="paragraph">
            <wp:posOffset>-473710</wp:posOffset>
          </wp:positionV>
          <wp:extent cx="1930400" cy="469900"/>
          <wp:effectExtent l="19050" t="0" r="0" b="0"/>
          <wp:wrapNone/>
          <wp:docPr id="15" name="Picture 15" descr="NO023_IPACrestfull_2011-Feb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023_IPACrestfull_2011-Feb_300dpi"/>
                  <pic:cNvPicPr>
                    <a:picLocks noChangeAspect="1" noChangeArrowheads="1"/>
                  </pic:cNvPicPr>
                </pic:nvPicPr>
                <pic:blipFill>
                  <a:blip r:embed="rId1"/>
                  <a:srcRect/>
                  <a:stretch>
                    <a:fillRect/>
                  </a:stretch>
                </pic:blipFill>
                <pic:spPr bwMode="auto">
                  <a:xfrm rot="10800000" flipH="1" flipV="1">
                    <a:off x="0" y="0"/>
                    <a:ext cx="1930400" cy="469900"/>
                  </a:xfrm>
                  <a:prstGeom prst="rect">
                    <a:avLst/>
                  </a:prstGeom>
                  <a:noFill/>
                  <a:ln w="9525">
                    <a:noFill/>
                    <a:miter lim="800000"/>
                    <a:headEnd/>
                    <a:tailEnd/>
                  </a:ln>
                </pic:spPr>
              </pic:pic>
            </a:graphicData>
          </a:graphic>
        </wp:anchor>
      </w:drawing>
    </w:r>
  </w:p>
  <w:p w14:paraId="694FA244" w14:textId="77777777" w:rsidR="008542A0" w:rsidRDefault="008542A0" w:rsidP="00D72BE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D3882" w14:textId="77777777" w:rsidR="008542A0" w:rsidRDefault="008542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79FD8A" w14:textId="77777777" w:rsidR="008542A0" w:rsidRDefault="008542A0">
      <w:r>
        <w:separator/>
      </w:r>
    </w:p>
  </w:footnote>
  <w:footnote w:type="continuationSeparator" w:id="0">
    <w:p w14:paraId="1B8D970C" w14:textId="77777777" w:rsidR="008542A0" w:rsidRDefault="008542A0">
      <w:r>
        <w:continuationSeparator/>
      </w:r>
    </w:p>
  </w:footnote>
  <w:footnote w:id="1">
    <w:p w14:paraId="54E9E219" w14:textId="77777777" w:rsidR="00AA4986" w:rsidRPr="007510EC" w:rsidRDefault="00AA4986" w:rsidP="00AA4986">
      <w:pPr>
        <w:ind w:left="284" w:hanging="284"/>
        <w:rPr>
          <w:sz w:val="20"/>
          <w:szCs w:val="20"/>
        </w:rPr>
      </w:pPr>
      <w:r w:rsidRPr="007510EC">
        <w:rPr>
          <w:rStyle w:val="FootnoteReference"/>
          <w:sz w:val="20"/>
          <w:szCs w:val="20"/>
        </w:rPr>
        <w:footnoteRef/>
      </w:r>
      <w:r>
        <w:rPr>
          <w:sz w:val="20"/>
          <w:szCs w:val="20"/>
        </w:rPr>
        <w:t xml:space="preserve"> Prior </w:t>
      </w:r>
      <w:r w:rsidRPr="00856B76">
        <w:rPr>
          <w:sz w:val="20"/>
          <w:szCs w:val="20"/>
        </w:rPr>
        <w:t xml:space="preserve">four year </w:t>
      </w:r>
      <w:r>
        <w:rPr>
          <w:sz w:val="20"/>
          <w:szCs w:val="20"/>
        </w:rPr>
        <w:t xml:space="preserve">venture capital investment </w:t>
      </w:r>
      <w:r w:rsidRPr="00856B76">
        <w:rPr>
          <w:sz w:val="20"/>
          <w:szCs w:val="20"/>
        </w:rPr>
        <w:t>totals are $280.31m in FY2011; $153.18m in FY2012; $143.69</w:t>
      </w:r>
      <w:r>
        <w:rPr>
          <w:sz w:val="20"/>
          <w:szCs w:val="20"/>
        </w:rPr>
        <w:t xml:space="preserve">m in FY2013; $535.35m in FY2014. </w:t>
      </w:r>
      <w:r w:rsidRPr="007510EC">
        <w:rPr>
          <w:sz w:val="20"/>
          <w:szCs w:val="20"/>
        </w:rPr>
        <w:t>Australian Private Equity and Venture Capital Association (AVCAL)</w:t>
      </w:r>
      <w:r>
        <w:rPr>
          <w:sz w:val="20"/>
          <w:szCs w:val="20"/>
        </w:rPr>
        <w:t>.</w:t>
      </w:r>
      <w:r w:rsidRPr="007510EC">
        <w:rPr>
          <w:sz w:val="20"/>
          <w:szCs w:val="20"/>
        </w:rPr>
        <w:t xml:space="preserve"> (2015). 2015 Yearbook - Private Equity and Venture Capital Activity Report. </w:t>
      </w:r>
      <w:hyperlink r:id="rId1" w:history="1">
        <w:r w:rsidRPr="007510EC">
          <w:rPr>
            <w:rStyle w:val="Hyperlink"/>
            <w:sz w:val="20"/>
            <w:szCs w:val="20"/>
          </w:rPr>
          <w:t>https://www.avcal.com.au/documents/item/1167</w:t>
        </w:r>
      </w:hyperlink>
    </w:p>
  </w:footnote>
  <w:footnote w:id="2">
    <w:p w14:paraId="2B93BB8A" w14:textId="77777777" w:rsidR="00AA4986" w:rsidRDefault="00AA4986" w:rsidP="00AA4986">
      <w:pPr>
        <w:pStyle w:val="FootnoteText"/>
        <w:spacing w:after="160" w:line="259" w:lineRule="auto"/>
        <w:ind w:left="284" w:hanging="284"/>
      </w:pPr>
      <w:r>
        <w:rPr>
          <w:rStyle w:val="FootnoteReference"/>
        </w:rPr>
        <w:footnoteRef/>
      </w:r>
      <w:r>
        <w:t xml:space="preserve"> The growth rates for venture capital investment activities are -16.29% in FY2010, 46.47% in FY2011, -45.35 in FY2012, -6.20% in FY2013, 272.57% in FY2014, and -58.18% in FY2015 respectively.</w:t>
      </w:r>
    </w:p>
  </w:footnote>
  <w:footnote w:id="3">
    <w:p w14:paraId="5D8E6A88" w14:textId="77777777" w:rsidR="00AA4986" w:rsidRPr="007510EC" w:rsidRDefault="00AA4986" w:rsidP="00AA4986">
      <w:pPr>
        <w:tabs>
          <w:tab w:val="left" w:pos="142"/>
        </w:tabs>
        <w:ind w:left="284" w:hanging="284"/>
        <w:jc w:val="both"/>
        <w:rPr>
          <w:sz w:val="20"/>
          <w:szCs w:val="20"/>
        </w:rPr>
      </w:pPr>
      <w:r w:rsidRPr="00FD7F1F">
        <w:rPr>
          <w:rStyle w:val="FootnoteReference"/>
        </w:rPr>
        <w:footnoteRef/>
      </w:r>
      <w:r w:rsidRPr="00FD7F1F">
        <w:rPr>
          <w:rStyle w:val="FootnoteReference"/>
        </w:rPr>
        <w:t xml:space="preserve"> </w:t>
      </w:r>
      <w:r w:rsidRPr="007510EC">
        <w:rPr>
          <w:sz w:val="20"/>
          <w:szCs w:val="20"/>
        </w:rPr>
        <w:t>Gompers, P. and Lerner, J. (2001). The Venture Capital Revolution. The Journal of Economic Perspectives 15(2): 145-168.</w:t>
      </w:r>
    </w:p>
  </w:footnote>
  <w:footnote w:id="4">
    <w:p w14:paraId="3B99D599" w14:textId="77777777" w:rsidR="00AA4986" w:rsidRPr="007510EC" w:rsidRDefault="00AA4986" w:rsidP="00AA4986">
      <w:pPr>
        <w:ind w:left="284" w:hanging="284"/>
        <w:jc w:val="both"/>
        <w:rPr>
          <w:sz w:val="20"/>
          <w:szCs w:val="20"/>
        </w:rPr>
      </w:pPr>
      <w:r w:rsidRPr="00FD7F1F">
        <w:rPr>
          <w:rStyle w:val="FootnoteReference"/>
        </w:rPr>
        <w:footnoteRef/>
      </w:r>
      <w:r w:rsidRPr="007510EC">
        <w:rPr>
          <w:sz w:val="20"/>
          <w:szCs w:val="20"/>
        </w:rPr>
        <w:t xml:space="preserve"> Callagher, L. J., Smith, P., and Ruscoe, S. (2015). Government Roles in Venture Capital Development: a Review of Current Literature. </w:t>
      </w:r>
      <w:r w:rsidRPr="007510EC">
        <w:rPr>
          <w:i/>
          <w:sz w:val="20"/>
          <w:szCs w:val="20"/>
        </w:rPr>
        <w:t>Journal of Entrepreneurship and Public Policy</w:t>
      </w:r>
      <w:r w:rsidRPr="007510EC">
        <w:rPr>
          <w:sz w:val="20"/>
          <w:szCs w:val="20"/>
        </w:rPr>
        <w:t xml:space="preserve"> 4(3): 367 – 391.</w:t>
      </w:r>
    </w:p>
  </w:footnote>
  <w:footnote w:id="5">
    <w:p w14:paraId="17A42188" w14:textId="77777777" w:rsidR="00AA4986" w:rsidRPr="00133D9A" w:rsidRDefault="00AA4986" w:rsidP="00AA4986">
      <w:pPr>
        <w:ind w:left="284" w:hanging="284"/>
        <w:jc w:val="both"/>
        <w:rPr>
          <w:sz w:val="20"/>
          <w:szCs w:val="20"/>
        </w:rPr>
      </w:pPr>
      <w:r w:rsidRPr="007510EC">
        <w:rPr>
          <w:rStyle w:val="FootnoteReference"/>
          <w:sz w:val="20"/>
          <w:szCs w:val="20"/>
        </w:rPr>
        <w:footnoteRef/>
      </w:r>
      <w:r w:rsidRPr="007510EC">
        <w:rPr>
          <w:sz w:val="20"/>
          <w:szCs w:val="20"/>
        </w:rPr>
        <w:t xml:space="preserve"> Hellmann, T. and Puri, M. (2000). The Interaction between Product Market and Financing Strategy: The Role of Venture Capital. </w:t>
      </w:r>
      <w:r w:rsidRPr="007510EC">
        <w:rPr>
          <w:i/>
          <w:sz w:val="20"/>
          <w:szCs w:val="20"/>
        </w:rPr>
        <w:t>The Review of Financial Studies</w:t>
      </w:r>
      <w:r w:rsidRPr="007510EC">
        <w:rPr>
          <w:sz w:val="20"/>
          <w:szCs w:val="20"/>
        </w:rPr>
        <w:t xml:space="preserve"> 13(4): 959-984.</w:t>
      </w:r>
    </w:p>
  </w:footnote>
  <w:footnote w:id="6">
    <w:p w14:paraId="0EA714CF" w14:textId="77777777" w:rsidR="00AA4986" w:rsidRPr="00AA4986" w:rsidRDefault="00AA4986" w:rsidP="00AA4986">
      <w:pPr>
        <w:pStyle w:val="Heading3"/>
        <w:tabs>
          <w:tab w:val="left" w:pos="142"/>
        </w:tabs>
        <w:spacing w:before="0" w:after="160" w:line="259" w:lineRule="auto"/>
        <w:ind w:left="284" w:hanging="284"/>
        <w:jc w:val="both"/>
        <w:rPr>
          <w:rFonts w:asciiTheme="minorHAnsi" w:eastAsiaTheme="minorEastAsia" w:hAnsiTheme="minorHAnsi" w:cstheme="minorBidi"/>
          <w:b/>
          <w:bCs/>
          <w:color w:val="auto"/>
          <w:sz w:val="20"/>
          <w:szCs w:val="20"/>
        </w:rPr>
      </w:pPr>
      <w:r w:rsidRPr="00AA4986">
        <w:rPr>
          <w:rStyle w:val="FootnoteReference"/>
          <w:rFonts w:asciiTheme="minorHAnsi" w:eastAsiaTheme="minorEastAsia" w:hAnsiTheme="minorHAnsi" w:cstheme="minorBidi"/>
          <w:color w:val="auto"/>
          <w:sz w:val="20"/>
          <w:szCs w:val="20"/>
        </w:rPr>
        <w:footnoteRef/>
      </w:r>
      <w:r w:rsidRPr="00AA4986">
        <w:rPr>
          <w:rFonts w:asciiTheme="minorHAnsi" w:eastAsiaTheme="minorEastAsia" w:hAnsiTheme="minorHAnsi" w:cstheme="minorBidi"/>
          <w:color w:val="auto"/>
          <w:sz w:val="20"/>
          <w:szCs w:val="20"/>
        </w:rPr>
        <w:t xml:space="preserve"> Income Tax Assessment Act 1997 - Section 118.425.</w:t>
      </w:r>
    </w:p>
  </w:footnote>
  <w:footnote w:id="7">
    <w:p w14:paraId="3D8D930E" w14:textId="2005CD2F" w:rsidR="00AA4986" w:rsidRDefault="00AA4986" w:rsidP="00AA4986">
      <w:pPr>
        <w:pStyle w:val="FootnoteText"/>
      </w:pPr>
      <w:r>
        <w:rPr>
          <w:rStyle w:val="FootnoteReference"/>
        </w:rPr>
        <w:footnoteRef/>
      </w:r>
      <w:r>
        <w:t xml:space="preserve"> Australian Treasury (2016). Backing Australian FinTech. Canberra: </w:t>
      </w:r>
      <w:r w:rsidRPr="00E05B28">
        <w:t xml:space="preserve">Commonwealth of Australia </w:t>
      </w:r>
      <w:r>
        <w:t xml:space="preserve">March </w:t>
      </w:r>
      <w:r w:rsidRPr="00E05B28">
        <w:t>2016</w:t>
      </w:r>
      <w:r>
        <w:t>.</w:t>
      </w:r>
    </w:p>
  </w:footnote>
  <w:footnote w:id="8">
    <w:p w14:paraId="7B4F5CEB" w14:textId="77777777" w:rsidR="00AA4986" w:rsidRPr="007510EC" w:rsidRDefault="00AA4986" w:rsidP="00AA4986">
      <w:pPr>
        <w:pStyle w:val="FootnoteText"/>
        <w:tabs>
          <w:tab w:val="left" w:pos="142"/>
        </w:tabs>
        <w:spacing w:after="160" w:line="259" w:lineRule="auto"/>
        <w:ind w:left="284" w:hanging="284"/>
        <w:jc w:val="both"/>
      </w:pPr>
      <w:r w:rsidRPr="00FD7F1F">
        <w:rPr>
          <w:rStyle w:val="FootnoteReference"/>
        </w:rPr>
        <w:footnoteRef/>
      </w:r>
      <w:r w:rsidRPr="00FD7F1F">
        <w:rPr>
          <w:rStyle w:val="FootnoteReference"/>
        </w:rPr>
        <w:t xml:space="preserve"> </w:t>
      </w:r>
      <w:r w:rsidRPr="007510EC">
        <w:t>HM Treasury and EY</w:t>
      </w:r>
      <w:r>
        <w:t>.</w:t>
      </w:r>
      <w:r w:rsidRPr="007510EC">
        <w:t xml:space="preserve"> (2016). UK FinTech on the Cutting Edge: An Evaluation of the International FinTech Sector. United Kingdom. </w:t>
      </w:r>
    </w:p>
  </w:footnote>
  <w:footnote w:id="9">
    <w:p w14:paraId="2EACA599" w14:textId="77777777" w:rsidR="00AA4986" w:rsidRDefault="00AA4986" w:rsidP="00AA4986">
      <w:pPr>
        <w:pStyle w:val="FootnoteText"/>
      </w:pPr>
      <w:r>
        <w:rPr>
          <w:rStyle w:val="FootnoteReference"/>
        </w:rPr>
        <w:footnoteRef/>
      </w:r>
      <w:r>
        <w:t xml:space="preserve"> EU Financial Centres Roundtable. (2016). EU FinTech Regulatory Framework. Spain.</w:t>
      </w:r>
    </w:p>
    <w:p w14:paraId="3059ACBC" w14:textId="77777777" w:rsidR="00AA4986" w:rsidRDefault="00AA4986" w:rsidP="00AA4986">
      <w:pPr>
        <w:pStyle w:val="FootnoteText"/>
      </w:pPr>
    </w:p>
  </w:footnote>
  <w:footnote w:id="10">
    <w:p w14:paraId="7B446D14" w14:textId="77777777" w:rsidR="00AA4986" w:rsidRDefault="00AA4986" w:rsidP="00AA4986">
      <w:pPr>
        <w:pStyle w:val="FootnoteText"/>
        <w:spacing w:after="160" w:line="259" w:lineRule="auto"/>
        <w:ind w:left="284" w:hanging="284"/>
        <w:jc w:val="both"/>
      </w:pPr>
      <w:r w:rsidRPr="007510EC">
        <w:rPr>
          <w:rStyle w:val="FootnoteReference"/>
        </w:rPr>
        <w:footnoteRef/>
      </w:r>
      <w:r>
        <w:t xml:space="preserve"> </w:t>
      </w:r>
      <w:r w:rsidRPr="007510EC">
        <w:t>Hong Kong Special Administrative Region Government</w:t>
      </w:r>
      <w:r>
        <w:t>.</w:t>
      </w:r>
      <w:r w:rsidRPr="007510EC">
        <w:t xml:space="preserve"> (2016). Report of the Steering Group on Financial Technologies. Hong Kong.</w:t>
      </w:r>
    </w:p>
  </w:footnote>
  <w:footnote w:id="11">
    <w:p w14:paraId="0B198EBB" w14:textId="77777777" w:rsidR="00AA4986" w:rsidRPr="007510EC" w:rsidRDefault="00AA4986" w:rsidP="00AA4986">
      <w:pPr>
        <w:pStyle w:val="FootnoteText"/>
        <w:tabs>
          <w:tab w:val="left" w:pos="142"/>
        </w:tabs>
        <w:spacing w:after="160" w:line="259" w:lineRule="auto"/>
        <w:ind w:left="284" w:hanging="284"/>
        <w:jc w:val="both"/>
      </w:pPr>
      <w:r w:rsidRPr="00FD7F1F">
        <w:rPr>
          <w:rStyle w:val="FootnoteReference"/>
        </w:rPr>
        <w:footnoteRef/>
      </w:r>
      <w:r w:rsidRPr="007510EC">
        <w:t xml:space="preserve"> KPMG, DLA Piper, Thomson Reuters, and Hong Kong Internet Finance Council</w:t>
      </w:r>
      <w:r>
        <w:t>.</w:t>
      </w:r>
      <w:r w:rsidRPr="007510EC">
        <w:t xml:space="preserve"> (2015). Making Hong Kong a FinTech Centre: Innovating Business in Asia. Hong Hong.</w:t>
      </w:r>
    </w:p>
  </w:footnote>
  <w:footnote w:id="12">
    <w:p w14:paraId="6E855626" w14:textId="77777777" w:rsidR="00AA4986" w:rsidRDefault="00AA4986" w:rsidP="00AA4986">
      <w:pPr>
        <w:pStyle w:val="FootnoteText"/>
      </w:pPr>
      <w:r>
        <w:rPr>
          <w:rStyle w:val="FootnoteReference"/>
        </w:rPr>
        <w:footnoteRef/>
      </w:r>
      <w:r>
        <w:t xml:space="preserve"> Monetary Authority of Singapore. (2016). FinTech: Harnessing its Power, Managing its Risks. Singapore.</w:t>
      </w:r>
    </w:p>
  </w:footnote>
  <w:footnote w:id="13">
    <w:p w14:paraId="1938A57A" w14:textId="199D4E55" w:rsidR="00AA4986" w:rsidRDefault="00AA4986" w:rsidP="00AA4986">
      <w:pPr>
        <w:pStyle w:val="FootnoteText"/>
        <w:ind w:left="284" w:hanging="284"/>
      </w:pPr>
      <w:r>
        <w:rPr>
          <w:rStyle w:val="FootnoteReference"/>
        </w:rPr>
        <w:footnoteRef/>
      </w:r>
      <w:r>
        <w:t xml:space="preserve"> Federal Financial Supervisory Authority (BaFin). (2016). FinTechs: Young IT Companies on the Financial Market. Federal Ministry of Finance, Germany.</w:t>
      </w:r>
    </w:p>
  </w:footnote>
  <w:footnote w:id="14">
    <w:p w14:paraId="4C4919A1" w14:textId="42D2C694" w:rsidR="00AA4986" w:rsidRDefault="00AA4986" w:rsidP="00AA4986">
      <w:pPr>
        <w:pStyle w:val="FootnoteText"/>
      </w:pPr>
      <w:r>
        <w:rPr>
          <w:rStyle w:val="FootnoteReference"/>
        </w:rPr>
        <w:footnoteRef/>
      </w:r>
      <w:r>
        <w:t xml:space="preserve"> Swiss Financial Market Supervisory Authority (FINMA). (2016). Annual Report 2015. Switzerland.</w:t>
      </w:r>
    </w:p>
  </w:footnote>
  <w:footnote w:id="15">
    <w:p w14:paraId="2B691ACB" w14:textId="77777777" w:rsidR="00AA4986" w:rsidRDefault="00AA4986" w:rsidP="00AA4986">
      <w:pPr>
        <w:pStyle w:val="FootnoteText"/>
        <w:ind w:left="284" w:hanging="284"/>
      </w:pPr>
      <w:r>
        <w:rPr>
          <w:rStyle w:val="FootnoteReference"/>
        </w:rPr>
        <w:footnoteRef/>
      </w:r>
      <w:r>
        <w:t xml:space="preserve"> World Economic Forum. (2015). Global Agenda Council on the Future of Financing &amp; Capital: The Future of FinTech- A Paradigm Shift in Small Business Finance. Switzerland.</w:t>
      </w:r>
    </w:p>
    <w:p w14:paraId="7A35A766" w14:textId="77777777" w:rsidR="00AA4986" w:rsidRDefault="00AA4986" w:rsidP="00AA4986">
      <w:pPr>
        <w:pStyle w:val="FootnoteText"/>
        <w:ind w:left="284" w:hanging="284"/>
      </w:pPr>
    </w:p>
  </w:footnote>
  <w:footnote w:id="16">
    <w:p w14:paraId="7763E318" w14:textId="77777777" w:rsidR="00AA4986" w:rsidRDefault="00AA4986" w:rsidP="00AA4986">
      <w:pPr>
        <w:pStyle w:val="FootnoteText"/>
      </w:pPr>
      <w:r>
        <w:rPr>
          <w:rStyle w:val="FootnoteReference"/>
        </w:rPr>
        <w:footnoteRef/>
      </w:r>
      <w:r>
        <w:t xml:space="preserve"> </w:t>
      </w:r>
      <w:r w:rsidRPr="007510EC">
        <w:t>Income Tax Assessment Act 1997 - Section 118.425</w:t>
      </w:r>
      <w:r>
        <w:t>, 13 Ineligible Activities.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D8270" w14:textId="77777777" w:rsidR="008542A0" w:rsidRDefault="008542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D4267" w14:textId="77777777" w:rsidR="008542A0" w:rsidRDefault="008542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5B11E" w14:textId="77777777" w:rsidR="008542A0" w:rsidRDefault="008542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D82A7EDC"/>
    <w:lvl w:ilvl="0" w:tplc="00000001">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singleLevel"/>
    <w:tmpl w:val="00000002"/>
    <w:name w:val="WW8Num1"/>
    <w:lvl w:ilvl="0">
      <w:start w:val="1"/>
      <w:numFmt w:val="lowerLetter"/>
      <w:lvlText w:val="%1."/>
      <w:lvlJc w:val="left"/>
      <w:pPr>
        <w:tabs>
          <w:tab w:val="num" w:pos="0"/>
        </w:tabs>
        <w:ind w:left="1080" w:hanging="720"/>
      </w:pPr>
    </w:lvl>
  </w:abstractNum>
  <w:abstractNum w:abstractNumId="2" w15:restartNumberingAfterBreak="0">
    <w:nsid w:val="00000003"/>
    <w:multiLevelType w:val="hybridMultilevel"/>
    <w:tmpl w:val="58CE5DC6"/>
    <w:lvl w:ilvl="0" w:tplc="000000C9">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singleLevel"/>
    <w:tmpl w:val="00000004"/>
    <w:name w:val="WW8Num3"/>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C"/>
    <w:multiLevelType w:val="singleLevel"/>
    <w:tmpl w:val="0000000C"/>
    <w:name w:val="WW8Num13"/>
    <w:lvl w:ilvl="0">
      <w:start w:val="1"/>
      <w:numFmt w:val="lowerLetter"/>
      <w:lvlText w:val="%1."/>
      <w:lvlJc w:val="left"/>
      <w:pPr>
        <w:tabs>
          <w:tab w:val="num" w:pos="0"/>
        </w:tabs>
        <w:ind w:left="1080" w:hanging="720"/>
      </w:pPr>
    </w:lvl>
  </w:abstractNum>
  <w:abstractNum w:abstractNumId="5" w15:restartNumberingAfterBreak="0">
    <w:nsid w:val="0000000F"/>
    <w:multiLevelType w:val="multilevel"/>
    <w:tmpl w:val="0000000F"/>
    <w:name w:val="WW8Num18"/>
    <w:lvl w:ilvl="0">
      <w:start w:val="1"/>
      <w:numFmt w:val="decimal"/>
      <w:suff w:val="nothing"/>
      <w:lvlText w:val="%1"/>
      <w:lvlJc w:val="left"/>
      <w:pPr>
        <w:tabs>
          <w:tab w:val="num" w:pos="0"/>
        </w:tabs>
        <w:ind w:left="0" w:firstLine="0"/>
      </w:pPr>
      <w:rPr>
        <w:rFonts w:cs="Times New Roman"/>
        <w:b w:val="0"/>
        <w:i w:val="0"/>
        <w:color w:val="000000"/>
      </w:rPr>
    </w:lvl>
    <w:lvl w:ilvl="1">
      <w:start w:val="1"/>
      <w:numFmt w:val="decimal"/>
      <w:lvlText w:val="%1.%2"/>
      <w:lvlJc w:val="left"/>
      <w:pPr>
        <w:tabs>
          <w:tab w:val="num" w:pos="1984"/>
        </w:tabs>
        <w:ind w:left="1134" w:firstLine="0"/>
      </w:pPr>
      <w:rPr>
        <w:rFonts w:cs="Times New Roman"/>
        <w:b w:val="0"/>
        <w:i w:val="0"/>
        <w:color w:val="000000"/>
      </w:rPr>
    </w:lvl>
    <w:lvl w:ilvl="2">
      <w:start w:val="1"/>
      <w:numFmt w:val="decimal"/>
      <w:suff w:val="nothing"/>
      <w:lvlText w:val="Example %2.%3"/>
      <w:lvlJc w:val="left"/>
      <w:pPr>
        <w:tabs>
          <w:tab w:val="num" w:pos="0"/>
        </w:tabs>
        <w:ind w:left="1440" w:firstLine="0"/>
      </w:pPr>
      <w:rPr>
        <w:rFonts w:ascii="Times New Roman" w:hAnsi="Times New Roman" w:cs="Times New Roman"/>
        <w:b/>
        <w:i w:val="0"/>
        <w:color w:val="000000"/>
        <w:sz w:val="22"/>
      </w:rPr>
    </w:lvl>
    <w:lvl w:ilvl="3">
      <w:start w:val="1"/>
      <w:numFmt w:val="decimal"/>
      <w:suff w:val="nothing"/>
      <w:lvlText w:val="Diagram %3.%4"/>
      <w:lvlJc w:val="left"/>
      <w:pPr>
        <w:tabs>
          <w:tab w:val="num" w:pos="0"/>
        </w:tabs>
        <w:ind w:left="1134" w:firstLine="0"/>
      </w:pPr>
      <w:rPr>
        <w:rFonts w:ascii="Times New Roman" w:hAnsi="Times New Roman" w:cs="Times New Roman"/>
        <w:b/>
        <w:i w:val="0"/>
        <w:color w:val="000000"/>
        <w:sz w:val="22"/>
      </w:rPr>
    </w:lvl>
    <w:lvl w:ilvl="4">
      <w:start w:val="1"/>
      <w:numFmt w:val="decimal"/>
      <w:suff w:val="nothing"/>
      <w:lvlText w:val="Table %4.%5"/>
      <w:lvlJc w:val="left"/>
      <w:pPr>
        <w:tabs>
          <w:tab w:val="num" w:pos="0"/>
        </w:tabs>
        <w:ind w:left="1134" w:firstLine="0"/>
      </w:pPr>
      <w:rPr>
        <w:rFonts w:ascii="Times New Roman" w:hAnsi="Times New Roman" w:cs="Times New Roman"/>
        <w:b/>
        <w:i w:val="0"/>
        <w:color w:val="000000"/>
        <w:sz w:val="22"/>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6" w15:restartNumberingAfterBreak="0">
    <w:nsid w:val="00000011"/>
    <w:multiLevelType w:val="singleLevel"/>
    <w:tmpl w:val="00000011"/>
    <w:name w:val="WW8Num20"/>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12"/>
    <w:multiLevelType w:val="singleLevel"/>
    <w:tmpl w:val="00000012"/>
    <w:name w:val="WW8Num21"/>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13"/>
    <w:multiLevelType w:val="singleLevel"/>
    <w:tmpl w:val="00000013"/>
    <w:name w:val="WW8Num23"/>
    <w:lvl w:ilvl="0">
      <w:start w:val="1"/>
      <w:numFmt w:val="bullet"/>
      <w:lvlText w:val=""/>
      <w:lvlJc w:val="left"/>
      <w:pPr>
        <w:tabs>
          <w:tab w:val="num" w:pos="0"/>
        </w:tabs>
        <w:ind w:left="720" w:hanging="360"/>
      </w:pPr>
      <w:rPr>
        <w:rFonts w:ascii="Symbol" w:hAnsi="Symbol"/>
      </w:rPr>
    </w:lvl>
  </w:abstractNum>
  <w:abstractNum w:abstractNumId="9" w15:restartNumberingAfterBreak="0">
    <w:nsid w:val="00000017"/>
    <w:multiLevelType w:val="singleLevel"/>
    <w:tmpl w:val="00000017"/>
    <w:name w:val="WW8Num29"/>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794CA8"/>
    <w:multiLevelType w:val="hybridMultilevel"/>
    <w:tmpl w:val="160E7E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07324A0D"/>
    <w:multiLevelType w:val="hybridMultilevel"/>
    <w:tmpl w:val="73A4DD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D5087E"/>
    <w:multiLevelType w:val="hybridMultilevel"/>
    <w:tmpl w:val="F6AA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3E5988"/>
    <w:multiLevelType w:val="hybridMultilevel"/>
    <w:tmpl w:val="10CE3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25475E"/>
    <w:multiLevelType w:val="hybridMultilevel"/>
    <w:tmpl w:val="38BE19E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F1552A0"/>
    <w:multiLevelType w:val="hybridMultilevel"/>
    <w:tmpl w:val="8BBE7844"/>
    <w:lvl w:ilvl="0" w:tplc="61403B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4D6F3F"/>
    <w:multiLevelType w:val="hybridMultilevel"/>
    <w:tmpl w:val="63B46500"/>
    <w:lvl w:ilvl="0" w:tplc="E6F6F7C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165A40C5"/>
    <w:multiLevelType w:val="hybridMultilevel"/>
    <w:tmpl w:val="895E7E4A"/>
    <w:lvl w:ilvl="0" w:tplc="0540A7B0">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8" w15:restartNumberingAfterBreak="0">
    <w:nsid w:val="19C960FD"/>
    <w:multiLevelType w:val="multilevel"/>
    <w:tmpl w:val="DA101CDC"/>
    <w:name w:val="OneLevelNumberedParagraphList"/>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9" w15:restartNumberingAfterBreak="0">
    <w:nsid w:val="2372164A"/>
    <w:multiLevelType w:val="multilevel"/>
    <w:tmpl w:val="B670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9F4005"/>
    <w:multiLevelType w:val="multilevel"/>
    <w:tmpl w:val="9A68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FC3A1A"/>
    <w:multiLevelType w:val="hybridMultilevel"/>
    <w:tmpl w:val="6B96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FB4D53"/>
    <w:multiLevelType w:val="hybridMultilevel"/>
    <w:tmpl w:val="649891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9D271FF"/>
    <w:multiLevelType w:val="hybridMultilevel"/>
    <w:tmpl w:val="064261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D714D4B"/>
    <w:multiLevelType w:val="multilevel"/>
    <w:tmpl w:val="A316FE50"/>
    <w:styleLink w:val="ChapterList"/>
    <w:lvl w:ilvl="0">
      <w:start w:val="1"/>
      <w:numFmt w:val="decimal"/>
      <w:lvlText w:val="Chapter %1"/>
      <w:lvlJc w:val="left"/>
      <w:pPr>
        <w:tabs>
          <w:tab w:val="num" w:pos="1134"/>
        </w:tabs>
        <w:ind w:left="0" w:firstLine="0"/>
      </w:pPr>
      <w:rPr>
        <w:rFonts w:hint="default"/>
      </w:rPr>
    </w:lvl>
    <w:lvl w:ilvl="1">
      <w:start w:val="1"/>
      <w:numFmt w:val="decimal"/>
      <w:lvlText w:val="%1.%2"/>
      <w:lvlJc w:val="left"/>
      <w:pPr>
        <w:tabs>
          <w:tab w:val="num" w:pos="1986"/>
        </w:tabs>
        <w:ind w:left="1135" w:firstLine="0"/>
      </w:pPr>
      <w:rPr>
        <w:rFonts w:hint="default"/>
      </w:rPr>
    </w:lvl>
    <w:lvl w:ilvl="2">
      <w:start w:val="1"/>
      <w:numFmt w:val="decimal"/>
      <w:lvlRestart w:val="1"/>
      <w:suff w:val="nothing"/>
      <w:lvlText w:val="Diagram %1.%3"/>
      <w:lvlJc w:val="left"/>
      <w:pPr>
        <w:ind w:left="1134" w:firstLine="0"/>
      </w:pPr>
      <w:rPr>
        <w:rFonts w:hint="default"/>
      </w:rPr>
    </w:lvl>
    <w:lvl w:ilvl="3">
      <w:start w:val="1"/>
      <w:numFmt w:val="decimal"/>
      <w:lvlRestart w:val="1"/>
      <w:suff w:val="nothing"/>
      <w:lvlText w:val="Example %1.%4"/>
      <w:lvlJc w:val="left"/>
      <w:pPr>
        <w:ind w:left="1134" w:firstLine="0"/>
      </w:pPr>
      <w:rPr>
        <w:rFonts w:hint="default"/>
      </w:rPr>
    </w:lvl>
    <w:lvl w:ilvl="4">
      <w:start w:val="1"/>
      <w:numFmt w:val="decimal"/>
      <w:lvlRestart w:val="1"/>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3583B01"/>
    <w:multiLevelType w:val="hybridMultilevel"/>
    <w:tmpl w:val="A080F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707B45"/>
    <w:multiLevelType w:val="hybridMultilevel"/>
    <w:tmpl w:val="9250AB0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55D33D38"/>
    <w:multiLevelType w:val="hybridMultilevel"/>
    <w:tmpl w:val="C19AD4C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58AE47CD"/>
    <w:multiLevelType w:val="hybridMultilevel"/>
    <w:tmpl w:val="2CA2AC08"/>
    <w:lvl w:ilvl="0" w:tplc="08090019">
      <w:start w:val="3"/>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7D4BB6"/>
    <w:multiLevelType w:val="hybridMultilevel"/>
    <w:tmpl w:val="82600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5E47FB"/>
    <w:multiLevelType w:val="hybridMultilevel"/>
    <w:tmpl w:val="AEF80698"/>
    <w:lvl w:ilvl="0" w:tplc="AEF46442">
      <w:start w:val="3"/>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5DF6494"/>
    <w:multiLevelType w:val="multilevel"/>
    <w:tmpl w:val="A316FE50"/>
    <w:lvl w:ilvl="0">
      <w:start w:val="1"/>
      <w:numFmt w:val="decimal"/>
      <w:lvlText w:val="Chapter %1"/>
      <w:lvlJc w:val="left"/>
      <w:pPr>
        <w:tabs>
          <w:tab w:val="num" w:pos="1134"/>
        </w:tabs>
        <w:ind w:left="0" w:firstLine="0"/>
      </w:pPr>
      <w:rPr>
        <w:rFonts w:hint="default"/>
      </w:rPr>
    </w:lvl>
    <w:lvl w:ilvl="1">
      <w:start w:val="1"/>
      <w:numFmt w:val="decimal"/>
      <w:lvlText w:val="%1.%2"/>
      <w:lvlJc w:val="left"/>
      <w:pPr>
        <w:tabs>
          <w:tab w:val="num" w:pos="1986"/>
        </w:tabs>
        <w:ind w:left="1135" w:firstLine="0"/>
      </w:pPr>
      <w:rPr>
        <w:rFonts w:hint="default"/>
      </w:rPr>
    </w:lvl>
    <w:lvl w:ilvl="2">
      <w:start w:val="1"/>
      <w:numFmt w:val="decimal"/>
      <w:lvlRestart w:val="1"/>
      <w:suff w:val="nothing"/>
      <w:lvlText w:val="Diagram %1.%3"/>
      <w:lvlJc w:val="left"/>
      <w:pPr>
        <w:ind w:left="1134" w:firstLine="0"/>
      </w:pPr>
      <w:rPr>
        <w:rFonts w:hint="default"/>
      </w:rPr>
    </w:lvl>
    <w:lvl w:ilvl="3">
      <w:start w:val="1"/>
      <w:numFmt w:val="decimal"/>
      <w:lvlRestart w:val="1"/>
      <w:suff w:val="nothing"/>
      <w:lvlText w:val="Example %1.%4"/>
      <w:lvlJc w:val="left"/>
      <w:pPr>
        <w:ind w:left="1134" w:firstLine="0"/>
      </w:pPr>
      <w:rPr>
        <w:rFonts w:hint="default"/>
      </w:rPr>
    </w:lvl>
    <w:lvl w:ilvl="4">
      <w:start w:val="1"/>
      <w:numFmt w:val="decimal"/>
      <w:lvlRestart w:val="1"/>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E1E3F59"/>
    <w:multiLevelType w:val="hybridMultilevel"/>
    <w:tmpl w:val="5E88FE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91122E"/>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1965D43"/>
    <w:multiLevelType w:val="hybridMultilevel"/>
    <w:tmpl w:val="3D8204F8"/>
    <w:lvl w:ilvl="0" w:tplc="E6282EBC">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A671318"/>
    <w:multiLevelType w:val="hybridMultilevel"/>
    <w:tmpl w:val="7F44E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AE45908"/>
    <w:multiLevelType w:val="hybridMultilevel"/>
    <w:tmpl w:val="24F2CD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2F1AAD"/>
    <w:multiLevelType w:val="hybridMultilevel"/>
    <w:tmpl w:val="29D8D10E"/>
    <w:lvl w:ilvl="0" w:tplc="39060F44">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8"/>
  </w:num>
  <w:num w:numId="2">
    <w:abstractNumId w:val="14"/>
  </w:num>
  <w:num w:numId="3">
    <w:abstractNumId w:val="32"/>
  </w:num>
  <w:num w:numId="4">
    <w:abstractNumId w:val="17"/>
  </w:num>
  <w:num w:numId="5">
    <w:abstractNumId w:val="16"/>
  </w:num>
  <w:num w:numId="6">
    <w:abstractNumId w:val="37"/>
  </w:num>
  <w:num w:numId="7">
    <w:abstractNumId w:val="33"/>
  </w:num>
  <w:num w:numId="8">
    <w:abstractNumId w:val="35"/>
  </w:num>
  <w:num w:numId="9">
    <w:abstractNumId w:val="23"/>
  </w:num>
  <w:num w:numId="10">
    <w:abstractNumId w:val="10"/>
  </w:num>
  <w:num w:numId="11">
    <w:abstractNumId w:val="34"/>
  </w:num>
  <w:num w:numId="12">
    <w:abstractNumId w:val="28"/>
  </w:num>
  <w:num w:numId="13">
    <w:abstractNumId w:val="27"/>
  </w:num>
  <w:num w:numId="14">
    <w:abstractNumId w:val="19"/>
  </w:num>
  <w:num w:numId="15">
    <w:abstractNumId w:val="20"/>
  </w:num>
  <w:num w:numId="16">
    <w:abstractNumId w:val="22"/>
  </w:num>
  <w:num w:numId="17">
    <w:abstractNumId w:val="0"/>
  </w:num>
  <w:num w:numId="18">
    <w:abstractNumId w:val="2"/>
  </w:num>
  <w:num w:numId="19">
    <w:abstractNumId w:val="12"/>
  </w:num>
  <w:num w:numId="20">
    <w:abstractNumId w:val="21"/>
  </w:num>
  <w:num w:numId="21">
    <w:abstractNumId w:val="24"/>
  </w:num>
  <w:num w:numId="22">
    <w:abstractNumId w:val="31"/>
    <w:lvlOverride w:ilvl="0">
      <w:lvl w:ilvl="0">
        <w:start w:val="1"/>
        <w:numFmt w:val="decimal"/>
        <w:lvlText w:val="Chapter %1"/>
        <w:lvlJc w:val="left"/>
        <w:pPr>
          <w:tabs>
            <w:tab w:val="num" w:pos="1134"/>
          </w:tabs>
          <w:ind w:left="0" w:firstLine="0"/>
        </w:pPr>
        <w:rPr>
          <w:rFonts w:hint="default"/>
        </w:rPr>
      </w:lvl>
    </w:lvlOverride>
    <w:lvlOverride w:ilvl="1">
      <w:lvl w:ilvl="1">
        <w:start w:val="1"/>
        <w:numFmt w:val="decimal"/>
        <w:lvlText w:val="%1.%2"/>
        <w:lvlJc w:val="left"/>
        <w:pPr>
          <w:tabs>
            <w:tab w:val="num" w:pos="1986"/>
          </w:tabs>
          <w:ind w:left="1135" w:firstLine="0"/>
        </w:pPr>
        <w:rPr>
          <w:rFonts w:hint="default"/>
          <w:b w:val="0"/>
        </w:rPr>
      </w:lvl>
    </w:lvlOverride>
    <w:lvlOverride w:ilvl="2">
      <w:lvl w:ilvl="2">
        <w:start w:val="1"/>
        <w:numFmt w:val="decimal"/>
        <w:lvlRestart w:val="1"/>
        <w:suff w:val="nothing"/>
        <w:lvlText w:val="Diagram %1.%3"/>
        <w:lvlJc w:val="left"/>
        <w:pPr>
          <w:ind w:left="1134" w:firstLine="0"/>
        </w:pPr>
        <w:rPr>
          <w:rFonts w:hint="default"/>
        </w:rPr>
      </w:lvl>
    </w:lvlOverride>
    <w:lvlOverride w:ilvl="3">
      <w:lvl w:ilvl="3">
        <w:start w:val="1"/>
        <w:numFmt w:val="decimal"/>
        <w:lvlRestart w:val="1"/>
        <w:suff w:val="nothing"/>
        <w:lvlText w:val="Example %1.%4"/>
        <w:lvlJc w:val="left"/>
        <w:pPr>
          <w:ind w:left="1134" w:firstLine="0"/>
        </w:pPr>
        <w:rPr>
          <w:rFonts w:hint="default"/>
        </w:rPr>
      </w:lvl>
    </w:lvlOverride>
    <w:lvlOverride w:ilvl="4">
      <w:lvl w:ilvl="4">
        <w:start w:val="1"/>
        <w:numFmt w:val="decimal"/>
        <w:lvlRestart w:val="1"/>
        <w:suff w:val="nothing"/>
        <w:lvlText w:val="Table %1.%5"/>
        <w:lvlJc w:val="left"/>
        <w:pPr>
          <w:ind w:left="1134"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abstractNumId w:val="15"/>
  </w:num>
  <w:num w:numId="24">
    <w:abstractNumId w:val="36"/>
  </w:num>
  <w:num w:numId="25">
    <w:abstractNumId w:val="30"/>
  </w:num>
  <w:num w:numId="26">
    <w:abstractNumId w:val="13"/>
  </w:num>
  <w:num w:numId="27">
    <w:abstractNumId w:val="11"/>
  </w:num>
  <w:num w:numId="28">
    <w:abstractNumId w:val="26"/>
  </w:num>
  <w:num w:numId="29">
    <w:abstractNumId w:val="29"/>
  </w:num>
  <w:num w:numId="30">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20"/>
  <w:drawingGridHorizontalSpacing w:val="120"/>
  <w:drawingGridVerticalSpacing w:val="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02E"/>
    <w:rsid w:val="000001A8"/>
    <w:rsid w:val="00001ECA"/>
    <w:rsid w:val="00003A91"/>
    <w:rsid w:val="00003B66"/>
    <w:rsid w:val="000064FF"/>
    <w:rsid w:val="00010F95"/>
    <w:rsid w:val="00011A0B"/>
    <w:rsid w:val="00013D7A"/>
    <w:rsid w:val="00013E10"/>
    <w:rsid w:val="0001439B"/>
    <w:rsid w:val="00015BE0"/>
    <w:rsid w:val="0001623D"/>
    <w:rsid w:val="00017E1A"/>
    <w:rsid w:val="000212F4"/>
    <w:rsid w:val="00021B4E"/>
    <w:rsid w:val="00033996"/>
    <w:rsid w:val="00034762"/>
    <w:rsid w:val="00034A7E"/>
    <w:rsid w:val="00036D92"/>
    <w:rsid w:val="00041E0F"/>
    <w:rsid w:val="00042164"/>
    <w:rsid w:val="00046F48"/>
    <w:rsid w:val="000472E5"/>
    <w:rsid w:val="00055F6B"/>
    <w:rsid w:val="00064398"/>
    <w:rsid w:val="00066658"/>
    <w:rsid w:val="00067A9D"/>
    <w:rsid w:val="00070EB2"/>
    <w:rsid w:val="000778CC"/>
    <w:rsid w:val="00090B6E"/>
    <w:rsid w:val="0009280F"/>
    <w:rsid w:val="00092D11"/>
    <w:rsid w:val="00093FD7"/>
    <w:rsid w:val="00094D64"/>
    <w:rsid w:val="00097914"/>
    <w:rsid w:val="000A20BB"/>
    <w:rsid w:val="000A2499"/>
    <w:rsid w:val="000A7740"/>
    <w:rsid w:val="000C0118"/>
    <w:rsid w:val="000C0DCA"/>
    <w:rsid w:val="000C1B73"/>
    <w:rsid w:val="000C2F62"/>
    <w:rsid w:val="000C3451"/>
    <w:rsid w:val="000D0D8E"/>
    <w:rsid w:val="000D114C"/>
    <w:rsid w:val="000D331E"/>
    <w:rsid w:val="000D62BA"/>
    <w:rsid w:val="000E3188"/>
    <w:rsid w:val="000E4DF7"/>
    <w:rsid w:val="000E4E15"/>
    <w:rsid w:val="000E50D0"/>
    <w:rsid w:val="000E68FC"/>
    <w:rsid w:val="000F5511"/>
    <w:rsid w:val="000F6DDB"/>
    <w:rsid w:val="00100DD3"/>
    <w:rsid w:val="001015F7"/>
    <w:rsid w:val="00104123"/>
    <w:rsid w:val="001046D8"/>
    <w:rsid w:val="00105B7C"/>
    <w:rsid w:val="001074E0"/>
    <w:rsid w:val="001100B0"/>
    <w:rsid w:val="001107C4"/>
    <w:rsid w:val="00110860"/>
    <w:rsid w:val="00112479"/>
    <w:rsid w:val="001179FE"/>
    <w:rsid w:val="0012519E"/>
    <w:rsid w:val="00127A19"/>
    <w:rsid w:val="001345DB"/>
    <w:rsid w:val="001427FB"/>
    <w:rsid w:val="00142F4D"/>
    <w:rsid w:val="00150820"/>
    <w:rsid w:val="00152F98"/>
    <w:rsid w:val="0015354C"/>
    <w:rsid w:val="001562E2"/>
    <w:rsid w:val="00163A77"/>
    <w:rsid w:val="00164209"/>
    <w:rsid w:val="001673AD"/>
    <w:rsid w:val="00167B63"/>
    <w:rsid w:val="00167FF5"/>
    <w:rsid w:val="00177809"/>
    <w:rsid w:val="00180EB4"/>
    <w:rsid w:val="00181B39"/>
    <w:rsid w:val="001835DA"/>
    <w:rsid w:val="001846CD"/>
    <w:rsid w:val="001867A4"/>
    <w:rsid w:val="001A07EB"/>
    <w:rsid w:val="001B3E31"/>
    <w:rsid w:val="001B5772"/>
    <w:rsid w:val="001B5CD5"/>
    <w:rsid w:val="001B65C0"/>
    <w:rsid w:val="001B6EB2"/>
    <w:rsid w:val="001C45AD"/>
    <w:rsid w:val="001D01B3"/>
    <w:rsid w:val="001D06CF"/>
    <w:rsid w:val="001D14C5"/>
    <w:rsid w:val="001D3AB6"/>
    <w:rsid w:val="001D401C"/>
    <w:rsid w:val="001E2B37"/>
    <w:rsid w:val="001E3E5E"/>
    <w:rsid w:val="001F0DCA"/>
    <w:rsid w:val="001F2EF0"/>
    <w:rsid w:val="001F46E7"/>
    <w:rsid w:val="001F5623"/>
    <w:rsid w:val="001F7666"/>
    <w:rsid w:val="00200B5D"/>
    <w:rsid w:val="002023A7"/>
    <w:rsid w:val="00203B16"/>
    <w:rsid w:val="0021210D"/>
    <w:rsid w:val="00212610"/>
    <w:rsid w:val="00213A92"/>
    <w:rsid w:val="00215357"/>
    <w:rsid w:val="00216709"/>
    <w:rsid w:val="00222905"/>
    <w:rsid w:val="002239F5"/>
    <w:rsid w:val="0022442F"/>
    <w:rsid w:val="00226E82"/>
    <w:rsid w:val="0022710F"/>
    <w:rsid w:val="002274C8"/>
    <w:rsid w:val="002352B4"/>
    <w:rsid w:val="00237670"/>
    <w:rsid w:val="00242C6C"/>
    <w:rsid w:val="0024340B"/>
    <w:rsid w:val="00246E15"/>
    <w:rsid w:val="00251D57"/>
    <w:rsid w:val="00260C06"/>
    <w:rsid w:val="0026316C"/>
    <w:rsid w:val="002767ED"/>
    <w:rsid w:val="002767F5"/>
    <w:rsid w:val="002802CA"/>
    <w:rsid w:val="0028070C"/>
    <w:rsid w:val="00283808"/>
    <w:rsid w:val="00284997"/>
    <w:rsid w:val="002851D1"/>
    <w:rsid w:val="002861E4"/>
    <w:rsid w:val="00293317"/>
    <w:rsid w:val="00293CF3"/>
    <w:rsid w:val="00295F92"/>
    <w:rsid w:val="002A0158"/>
    <w:rsid w:val="002A42BF"/>
    <w:rsid w:val="002A674C"/>
    <w:rsid w:val="002A70EF"/>
    <w:rsid w:val="002A7DE6"/>
    <w:rsid w:val="002B0A36"/>
    <w:rsid w:val="002B26A3"/>
    <w:rsid w:val="002B376E"/>
    <w:rsid w:val="002C0BB0"/>
    <w:rsid w:val="002C4884"/>
    <w:rsid w:val="002C612E"/>
    <w:rsid w:val="002D1486"/>
    <w:rsid w:val="002D4531"/>
    <w:rsid w:val="002D4D67"/>
    <w:rsid w:val="002E035E"/>
    <w:rsid w:val="002E25EC"/>
    <w:rsid w:val="002E369A"/>
    <w:rsid w:val="002E38C9"/>
    <w:rsid w:val="002E3E5E"/>
    <w:rsid w:val="002E4E4F"/>
    <w:rsid w:val="00300BA3"/>
    <w:rsid w:val="00303E31"/>
    <w:rsid w:val="00306D4D"/>
    <w:rsid w:val="0030738C"/>
    <w:rsid w:val="00310332"/>
    <w:rsid w:val="003134BB"/>
    <w:rsid w:val="0031393A"/>
    <w:rsid w:val="0031523D"/>
    <w:rsid w:val="00320F2D"/>
    <w:rsid w:val="00321A39"/>
    <w:rsid w:val="00321C4D"/>
    <w:rsid w:val="0032343F"/>
    <w:rsid w:val="00323F93"/>
    <w:rsid w:val="0032503B"/>
    <w:rsid w:val="003273B6"/>
    <w:rsid w:val="003321D0"/>
    <w:rsid w:val="00332379"/>
    <w:rsid w:val="00335079"/>
    <w:rsid w:val="003363A4"/>
    <w:rsid w:val="00337A75"/>
    <w:rsid w:val="00340174"/>
    <w:rsid w:val="00343036"/>
    <w:rsid w:val="0034565A"/>
    <w:rsid w:val="00354816"/>
    <w:rsid w:val="00354D3D"/>
    <w:rsid w:val="00355F3E"/>
    <w:rsid w:val="003671B7"/>
    <w:rsid w:val="00374526"/>
    <w:rsid w:val="003750CA"/>
    <w:rsid w:val="00375B11"/>
    <w:rsid w:val="00375BBE"/>
    <w:rsid w:val="00375CB4"/>
    <w:rsid w:val="00376ACD"/>
    <w:rsid w:val="0039040B"/>
    <w:rsid w:val="00393102"/>
    <w:rsid w:val="003A4346"/>
    <w:rsid w:val="003A6123"/>
    <w:rsid w:val="003A6624"/>
    <w:rsid w:val="003B20FD"/>
    <w:rsid w:val="003B4E54"/>
    <w:rsid w:val="003B70EE"/>
    <w:rsid w:val="003C33D6"/>
    <w:rsid w:val="003C6BFA"/>
    <w:rsid w:val="003D1DC8"/>
    <w:rsid w:val="003D2447"/>
    <w:rsid w:val="003D2D0A"/>
    <w:rsid w:val="003D2E97"/>
    <w:rsid w:val="003D799E"/>
    <w:rsid w:val="003E061E"/>
    <w:rsid w:val="003E0E8E"/>
    <w:rsid w:val="003E4290"/>
    <w:rsid w:val="003E7D41"/>
    <w:rsid w:val="003F0896"/>
    <w:rsid w:val="003F3D65"/>
    <w:rsid w:val="003F518F"/>
    <w:rsid w:val="00402445"/>
    <w:rsid w:val="004030D4"/>
    <w:rsid w:val="00410D43"/>
    <w:rsid w:val="00411FDC"/>
    <w:rsid w:val="0042258E"/>
    <w:rsid w:val="00423EF0"/>
    <w:rsid w:val="004314B3"/>
    <w:rsid w:val="00436968"/>
    <w:rsid w:val="00440859"/>
    <w:rsid w:val="00443531"/>
    <w:rsid w:val="0045128C"/>
    <w:rsid w:val="00457F83"/>
    <w:rsid w:val="00465B48"/>
    <w:rsid w:val="00471E01"/>
    <w:rsid w:val="00483F74"/>
    <w:rsid w:val="00490E23"/>
    <w:rsid w:val="004A2E29"/>
    <w:rsid w:val="004A7558"/>
    <w:rsid w:val="004B115B"/>
    <w:rsid w:val="004B3BF9"/>
    <w:rsid w:val="004B51CF"/>
    <w:rsid w:val="004B6A5F"/>
    <w:rsid w:val="004B7BF6"/>
    <w:rsid w:val="004C20D8"/>
    <w:rsid w:val="004C28D2"/>
    <w:rsid w:val="004C66C0"/>
    <w:rsid w:val="004C7618"/>
    <w:rsid w:val="004C79AA"/>
    <w:rsid w:val="004D0304"/>
    <w:rsid w:val="004D26B5"/>
    <w:rsid w:val="004E1F78"/>
    <w:rsid w:val="004E64A1"/>
    <w:rsid w:val="004E6B43"/>
    <w:rsid w:val="004E7A6A"/>
    <w:rsid w:val="004F233D"/>
    <w:rsid w:val="004F23D5"/>
    <w:rsid w:val="004F7FB5"/>
    <w:rsid w:val="005062DD"/>
    <w:rsid w:val="005133D5"/>
    <w:rsid w:val="005154D1"/>
    <w:rsid w:val="005165A5"/>
    <w:rsid w:val="00516A30"/>
    <w:rsid w:val="00516CF8"/>
    <w:rsid w:val="0052016A"/>
    <w:rsid w:val="005224EE"/>
    <w:rsid w:val="00523169"/>
    <w:rsid w:val="005256C7"/>
    <w:rsid w:val="00527819"/>
    <w:rsid w:val="00530BCC"/>
    <w:rsid w:val="005326B9"/>
    <w:rsid w:val="00533506"/>
    <w:rsid w:val="00536117"/>
    <w:rsid w:val="00543AC7"/>
    <w:rsid w:val="005461E1"/>
    <w:rsid w:val="005523D3"/>
    <w:rsid w:val="00554A7E"/>
    <w:rsid w:val="005609D9"/>
    <w:rsid w:val="005623A8"/>
    <w:rsid w:val="00564D14"/>
    <w:rsid w:val="00565B04"/>
    <w:rsid w:val="00570C19"/>
    <w:rsid w:val="0057236B"/>
    <w:rsid w:val="00572481"/>
    <w:rsid w:val="00572B9F"/>
    <w:rsid w:val="005738F3"/>
    <w:rsid w:val="0057676A"/>
    <w:rsid w:val="0058213D"/>
    <w:rsid w:val="0058296A"/>
    <w:rsid w:val="00584B57"/>
    <w:rsid w:val="00586B57"/>
    <w:rsid w:val="005919E8"/>
    <w:rsid w:val="0059257A"/>
    <w:rsid w:val="00595D42"/>
    <w:rsid w:val="005A2C2B"/>
    <w:rsid w:val="005B47D8"/>
    <w:rsid w:val="005B60F8"/>
    <w:rsid w:val="005B6289"/>
    <w:rsid w:val="005C3A26"/>
    <w:rsid w:val="005C654F"/>
    <w:rsid w:val="005D2EE6"/>
    <w:rsid w:val="005D5A59"/>
    <w:rsid w:val="005E24A4"/>
    <w:rsid w:val="005E6259"/>
    <w:rsid w:val="005E74FE"/>
    <w:rsid w:val="005F15D5"/>
    <w:rsid w:val="005F1860"/>
    <w:rsid w:val="005F2C95"/>
    <w:rsid w:val="005F3814"/>
    <w:rsid w:val="005F4579"/>
    <w:rsid w:val="005F4F5E"/>
    <w:rsid w:val="005F5CEF"/>
    <w:rsid w:val="005F6E37"/>
    <w:rsid w:val="005F7DD0"/>
    <w:rsid w:val="006016C6"/>
    <w:rsid w:val="0061466B"/>
    <w:rsid w:val="00614AEA"/>
    <w:rsid w:val="0061546F"/>
    <w:rsid w:val="0062413C"/>
    <w:rsid w:val="0062631D"/>
    <w:rsid w:val="006316CB"/>
    <w:rsid w:val="00635ACF"/>
    <w:rsid w:val="0064325F"/>
    <w:rsid w:val="00645004"/>
    <w:rsid w:val="0065022E"/>
    <w:rsid w:val="00650FEF"/>
    <w:rsid w:val="00655FF9"/>
    <w:rsid w:val="00660FA5"/>
    <w:rsid w:val="00661149"/>
    <w:rsid w:val="00663B1C"/>
    <w:rsid w:val="00664FEB"/>
    <w:rsid w:val="00671DBB"/>
    <w:rsid w:val="00672C0F"/>
    <w:rsid w:val="0067475E"/>
    <w:rsid w:val="00677990"/>
    <w:rsid w:val="00681149"/>
    <w:rsid w:val="00684C02"/>
    <w:rsid w:val="006946EA"/>
    <w:rsid w:val="006B13D6"/>
    <w:rsid w:val="006B1EE4"/>
    <w:rsid w:val="006B1EF5"/>
    <w:rsid w:val="006B20EE"/>
    <w:rsid w:val="006B2661"/>
    <w:rsid w:val="006C1AF9"/>
    <w:rsid w:val="006C2130"/>
    <w:rsid w:val="006C2DB4"/>
    <w:rsid w:val="006C4443"/>
    <w:rsid w:val="006C6814"/>
    <w:rsid w:val="006C7BA9"/>
    <w:rsid w:val="006D01C0"/>
    <w:rsid w:val="006D06D1"/>
    <w:rsid w:val="006D1DD4"/>
    <w:rsid w:val="006D608C"/>
    <w:rsid w:val="006D7311"/>
    <w:rsid w:val="006E2CC4"/>
    <w:rsid w:val="006F050C"/>
    <w:rsid w:val="006F055C"/>
    <w:rsid w:val="006F227F"/>
    <w:rsid w:val="006F406A"/>
    <w:rsid w:val="0070233B"/>
    <w:rsid w:val="00702AAE"/>
    <w:rsid w:val="00702FF4"/>
    <w:rsid w:val="00703028"/>
    <w:rsid w:val="00704262"/>
    <w:rsid w:val="00707062"/>
    <w:rsid w:val="0071163F"/>
    <w:rsid w:val="0071683D"/>
    <w:rsid w:val="0072041C"/>
    <w:rsid w:val="00720524"/>
    <w:rsid w:val="007218DD"/>
    <w:rsid w:val="0072359E"/>
    <w:rsid w:val="007242B8"/>
    <w:rsid w:val="00724CB0"/>
    <w:rsid w:val="007264BC"/>
    <w:rsid w:val="00726E51"/>
    <w:rsid w:val="00727635"/>
    <w:rsid w:val="00730C7E"/>
    <w:rsid w:val="007355A9"/>
    <w:rsid w:val="00735878"/>
    <w:rsid w:val="0074048A"/>
    <w:rsid w:val="0075010D"/>
    <w:rsid w:val="00751B44"/>
    <w:rsid w:val="007529E7"/>
    <w:rsid w:val="007626B7"/>
    <w:rsid w:val="00763598"/>
    <w:rsid w:val="007639E1"/>
    <w:rsid w:val="007647F8"/>
    <w:rsid w:val="0076523F"/>
    <w:rsid w:val="00791E1F"/>
    <w:rsid w:val="00794ABB"/>
    <w:rsid w:val="007A5597"/>
    <w:rsid w:val="007A66FD"/>
    <w:rsid w:val="007A7605"/>
    <w:rsid w:val="007B1B0E"/>
    <w:rsid w:val="007B4741"/>
    <w:rsid w:val="007B4DC1"/>
    <w:rsid w:val="007B53B6"/>
    <w:rsid w:val="007B5F97"/>
    <w:rsid w:val="007B5FB5"/>
    <w:rsid w:val="007B7509"/>
    <w:rsid w:val="007C28E4"/>
    <w:rsid w:val="007C2D00"/>
    <w:rsid w:val="007C4805"/>
    <w:rsid w:val="007C72F7"/>
    <w:rsid w:val="007C79F0"/>
    <w:rsid w:val="007D2F3B"/>
    <w:rsid w:val="007E1DEA"/>
    <w:rsid w:val="007E429B"/>
    <w:rsid w:val="007F2079"/>
    <w:rsid w:val="007F39B4"/>
    <w:rsid w:val="007F790D"/>
    <w:rsid w:val="007F7CFD"/>
    <w:rsid w:val="0080229E"/>
    <w:rsid w:val="008062F2"/>
    <w:rsid w:val="00806F70"/>
    <w:rsid w:val="00814125"/>
    <w:rsid w:val="008143E2"/>
    <w:rsid w:val="008158F4"/>
    <w:rsid w:val="00820904"/>
    <w:rsid w:val="0082232E"/>
    <w:rsid w:val="008235D6"/>
    <w:rsid w:val="00823D63"/>
    <w:rsid w:val="00823EF8"/>
    <w:rsid w:val="00824AEF"/>
    <w:rsid w:val="00824D52"/>
    <w:rsid w:val="00826279"/>
    <w:rsid w:val="00827DDB"/>
    <w:rsid w:val="00830236"/>
    <w:rsid w:val="008326E3"/>
    <w:rsid w:val="00841A34"/>
    <w:rsid w:val="00841C96"/>
    <w:rsid w:val="00851628"/>
    <w:rsid w:val="00851682"/>
    <w:rsid w:val="008542A0"/>
    <w:rsid w:val="00854600"/>
    <w:rsid w:val="00856829"/>
    <w:rsid w:val="00857139"/>
    <w:rsid w:val="00857B5A"/>
    <w:rsid w:val="00864D87"/>
    <w:rsid w:val="00865D62"/>
    <w:rsid w:val="00867C5B"/>
    <w:rsid w:val="008704CB"/>
    <w:rsid w:val="00874914"/>
    <w:rsid w:val="00874ADD"/>
    <w:rsid w:val="00876743"/>
    <w:rsid w:val="0087678B"/>
    <w:rsid w:val="00877880"/>
    <w:rsid w:val="00877A71"/>
    <w:rsid w:val="0088301C"/>
    <w:rsid w:val="00886E72"/>
    <w:rsid w:val="0089056F"/>
    <w:rsid w:val="00896BFB"/>
    <w:rsid w:val="0089784B"/>
    <w:rsid w:val="008A13E3"/>
    <w:rsid w:val="008B0358"/>
    <w:rsid w:val="008B0F7E"/>
    <w:rsid w:val="008B7A3F"/>
    <w:rsid w:val="008C6233"/>
    <w:rsid w:val="008C6A7D"/>
    <w:rsid w:val="008C6CB5"/>
    <w:rsid w:val="008C7947"/>
    <w:rsid w:val="008D43D5"/>
    <w:rsid w:val="008E2315"/>
    <w:rsid w:val="008E3E1B"/>
    <w:rsid w:val="008E4481"/>
    <w:rsid w:val="008F0D63"/>
    <w:rsid w:val="008F0DFB"/>
    <w:rsid w:val="008F2F8E"/>
    <w:rsid w:val="00900378"/>
    <w:rsid w:val="009021AD"/>
    <w:rsid w:val="00906CC5"/>
    <w:rsid w:val="00911383"/>
    <w:rsid w:val="00911F33"/>
    <w:rsid w:val="009123DC"/>
    <w:rsid w:val="009127B4"/>
    <w:rsid w:val="00921FE5"/>
    <w:rsid w:val="009275FF"/>
    <w:rsid w:val="00942113"/>
    <w:rsid w:val="0094658A"/>
    <w:rsid w:val="00952128"/>
    <w:rsid w:val="00953E1C"/>
    <w:rsid w:val="0095573C"/>
    <w:rsid w:val="00957C52"/>
    <w:rsid w:val="009607B9"/>
    <w:rsid w:val="00960BFB"/>
    <w:rsid w:val="00961220"/>
    <w:rsid w:val="009635CF"/>
    <w:rsid w:val="009638F1"/>
    <w:rsid w:val="00970318"/>
    <w:rsid w:val="00973114"/>
    <w:rsid w:val="00974988"/>
    <w:rsid w:val="00975B05"/>
    <w:rsid w:val="0098051C"/>
    <w:rsid w:val="00986F20"/>
    <w:rsid w:val="009874FB"/>
    <w:rsid w:val="00987B88"/>
    <w:rsid w:val="00993744"/>
    <w:rsid w:val="00994835"/>
    <w:rsid w:val="00995B0C"/>
    <w:rsid w:val="00997496"/>
    <w:rsid w:val="009A05BD"/>
    <w:rsid w:val="009A3C95"/>
    <w:rsid w:val="009A58E7"/>
    <w:rsid w:val="009A7B43"/>
    <w:rsid w:val="009B046E"/>
    <w:rsid w:val="009B2435"/>
    <w:rsid w:val="009B3803"/>
    <w:rsid w:val="009B459C"/>
    <w:rsid w:val="009C3A2B"/>
    <w:rsid w:val="009C3FF8"/>
    <w:rsid w:val="009D6A09"/>
    <w:rsid w:val="009E4A62"/>
    <w:rsid w:val="009E62A9"/>
    <w:rsid w:val="009F23DB"/>
    <w:rsid w:val="009F3756"/>
    <w:rsid w:val="009F6925"/>
    <w:rsid w:val="009F6B27"/>
    <w:rsid w:val="009F6C5B"/>
    <w:rsid w:val="00A0005B"/>
    <w:rsid w:val="00A00F02"/>
    <w:rsid w:val="00A02908"/>
    <w:rsid w:val="00A05630"/>
    <w:rsid w:val="00A12988"/>
    <w:rsid w:val="00A1473E"/>
    <w:rsid w:val="00A211D4"/>
    <w:rsid w:val="00A217CA"/>
    <w:rsid w:val="00A225C8"/>
    <w:rsid w:val="00A24240"/>
    <w:rsid w:val="00A25603"/>
    <w:rsid w:val="00A25CD1"/>
    <w:rsid w:val="00A27E48"/>
    <w:rsid w:val="00A31075"/>
    <w:rsid w:val="00A321F4"/>
    <w:rsid w:val="00A32698"/>
    <w:rsid w:val="00A33FF4"/>
    <w:rsid w:val="00A34047"/>
    <w:rsid w:val="00A34B53"/>
    <w:rsid w:val="00A459EB"/>
    <w:rsid w:val="00A52049"/>
    <w:rsid w:val="00A537C0"/>
    <w:rsid w:val="00A537E6"/>
    <w:rsid w:val="00A53B2F"/>
    <w:rsid w:val="00A55C2F"/>
    <w:rsid w:val="00A63B27"/>
    <w:rsid w:val="00A63D7C"/>
    <w:rsid w:val="00A6438C"/>
    <w:rsid w:val="00A64BCA"/>
    <w:rsid w:val="00A654DF"/>
    <w:rsid w:val="00A70DF2"/>
    <w:rsid w:val="00A766B9"/>
    <w:rsid w:val="00A861C1"/>
    <w:rsid w:val="00A93C49"/>
    <w:rsid w:val="00A93CAC"/>
    <w:rsid w:val="00A9718B"/>
    <w:rsid w:val="00AA1FC1"/>
    <w:rsid w:val="00AA39D7"/>
    <w:rsid w:val="00AA497B"/>
    <w:rsid w:val="00AA4986"/>
    <w:rsid w:val="00AA7EDF"/>
    <w:rsid w:val="00AC0107"/>
    <w:rsid w:val="00AC11B9"/>
    <w:rsid w:val="00AC1F69"/>
    <w:rsid w:val="00AC5027"/>
    <w:rsid w:val="00AC5D3D"/>
    <w:rsid w:val="00AC6BC9"/>
    <w:rsid w:val="00AD11F6"/>
    <w:rsid w:val="00AD42B7"/>
    <w:rsid w:val="00AD7F56"/>
    <w:rsid w:val="00AE2646"/>
    <w:rsid w:val="00AE2A06"/>
    <w:rsid w:val="00AE730C"/>
    <w:rsid w:val="00AF2758"/>
    <w:rsid w:val="00AF3E51"/>
    <w:rsid w:val="00AF5CF0"/>
    <w:rsid w:val="00AF7A74"/>
    <w:rsid w:val="00B0471C"/>
    <w:rsid w:val="00B05DD6"/>
    <w:rsid w:val="00B12DEF"/>
    <w:rsid w:val="00B16774"/>
    <w:rsid w:val="00B20971"/>
    <w:rsid w:val="00B255D5"/>
    <w:rsid w:val="00B2644E"/>
    <w:rsid w:val="00B276E4"/>
    <w:rsid w:val="00B27707"/>
    <w:rsid w:val="00B30367"/>
    <w:rsid w:val="00B345CD"/>
    <w:rsid w:val="00B4164F"/>
    <w:rsid w:val="00B429E2"/>
    <w:rsid w:val="00B4372A"/>
    <w:rsid w:val="00B52328"/>
    <w:rsid w:val="00B53E83"/>
    <w:rsid w:val="00B5436E"/>
    <w:rsid w:val="00B5480F"/>
    <w:rsid w:val="00B54B39"/>
    <w:rsid w:val="00B6079B"/>
    <w:rsid w:val="00B70B3E"/>
    <w:rsid w:val="00B75563"/>
    <w:rsid w:val="00B76A0F"/>
    <w:rsid w:val="00B82387"/>
    <w:rsid w:val="00B8621E"/>
    <w:rsid w:val="00B872B8"/>
    <w:rsid w:val="00B87635"/>
    <w:rsid w:val="00B87F49"/>
    <w:rsid w:val="00B9022B"/>
    <w:rsid w:val="00B9042B"/>
    <w:rsid w:val="00B940B5"/>
    <w:rsid w:val="00B9676E"/>
    <w:rsid w:val="00BA416C"/>
    <w:rsid w:val="00BA41D4"/>
    <w:rsid w:val="00BA70EF"/>
    <w:rsid w:val="00BB2DCD"/>
    <w:rsid w:val="00BB7AF5"/>
    <w:rsid w:val="00BC010B"/>
    <w:rsid w:val="00BC470D"/>
    <w:rsid w:val="00BC52CB"/>
    <w:rsid w:val="00BC7333"/>
    <w:rsid w:val="00BD0E09"/>
    <w:rsid w:val="00BD4DCA"/>
    <w:rsid w:val="00BD5D12"/>
    <w:rsid w:val="00BD6610"/>
    <w:rsid w:val="00BE2015"/>
    <w:rsid w:val="00BE6A9E"/>
    <w:rsid w:val="00BF13BD"/>
    <w:rsid w:val="00BF1561"/>
    <w:rsid w:val="00BF702E"/>
    <w:rsid w:val="00C01014"/>
    <w:rsid w:val="00C02E54"/>
    <w:rsid w:val="00C03B18"/>
    <w:rsid w:val="00C11544"/>
    <w:rsid w:val="00C1489F"/>
    <w:rsid w:val="00C1514F"/>
    <w:rsid w:val="00C15616"/>
    <w:rsid w:val="00C165B3"/>
    <w:rsid w:val="00C17250"/>
    <w:rsid w:val="00C20921"/>
    <w:rsid w:val="00C215A3"/>
    <w:rsid w:val="00C26FE5"/>
    <w:rsid w:val="00C322F7"/>
    <w:rsid w:val="00C32F9B"/>
    <w:rsid w:val="00C36273"/>
    <w:rsid w:val="00C40295"/>
    <w:rsid w:val="00C4091B"/>
    <w:rsid w:val="00C419A6"/>
    <w:rsid w:val="00C4294B"/>
    <w:rsid w:val="00C45672"/>
    <w:rsid w:val="00C475A0"/>
    <w:rsid w:val="00C5253D"/>
    <w:rsid w:val="00C52769"/>
    <w:rsid w:val="00C54069"/>
    <w:rsid w:val="00C551AD"/>
    <w:rsid w:val="00C5647F"/>
    <w:rsid w:val="00C579D4"/>
    <w:rsid w:val="00C60302"/>
    <w:rsid w:val="00C615A4"/>
    <w:rsid w:val="00C61782"/>
    <w:rsid w:val="00C6279D"/>
    <w:rsid w:val="00C7495E"/>
    <w:rsid w:val="00C76C26"/>
    <w:rsid w:val="00C770A8"/>
    <w:rsid w:val="00C80FAE"/>
    <w:rsid w:val="00C90346"/>
    <w:rsid w:val="00C93325"/>
    <w:rsid w:val="00C94D9B"/>
    <w:rsid w:val="00C978D9"/>
    <w:rsid w:val="00CA33B6"/>
    <w:rsid w:val="00CB56DF"/>
    <w:rsid w:val="00CB5C77"/>
    <w:rsid w:val="00CC28CF"/>
    <w:rsid w:val="00CC5C65"/>
    <w:rsid w:val="00CC7DF4"/>
    <w:rsid w:val="00CD30D5"/>
    <w:rsid w:val="00CD6F26"/>
    <w:rsid w:val="00CE5B19"/>
    <w:rsid w:val="00CE61A5"/>
    <w:rsid w:val="00CE6CB5"/>
    <w:rsid w:val="00CF641A"/>
    <w:rsid w:val="00D01BA6"/>
    <w:rsid w:val="00D02721"/>
    <w:rsid w:val="00D02912"/>
    <w:rsid w:val="00D045D9"/>
    <w:rsid w:val="00D053AD"/>
    <w:rsid w:val="00D07325"/>
    <w:rsid w:val="00D1024E"/>
    <w:rsid w:val="00D10F83"/>
    <w:rsid w:val="00D12D9C"/>
    <w:rsid w:val="00D13728"/>
    <w:rsid w:val="00D13953"/>
    <w:rsid w:val="00D150FB"/>
    <w:rsid w:val="00D1685D"/>
    <w:rsid w:val="00D16E49"/>
    <w:rsid w:val="00D20D64"/>
    <w:rsid w:val="00D25838"/>
    <w:rsid w:val="00D301C3"/>
    <w:rsid w:val="00D30A23"/>
    <w:rsid w:val="00D34F1B"/>
    <w:rsid w:val="00D4112D"/>
    <w:rsid w:val="00D41287"/>
    <w:rsid w:val="00D41C66"/>
    <w:rsid w:val="00D41FCD"/>
    <w:rsid w:val="00D44FC0"/>
    <w:rsid w:val="00D46E6B"/>
    <w:rsid w:val="00D5093D"/>
    <w:rsid w:val="00D50E7D"/>
    <w:rsid w:val="00D51EF1"/>
    <w:rsid w:val="00D52AE2"/>
    <w:rsid w:val="00D57662"/>
    <w:rsid w:val="00D61B01"/>
    <w:rsid w:val="00D66A6F"/>
    <w:rsid w:val="00D66BA3"/>
    <w:rsid w:val="00D67D3E"/>
    <w:rsid w:val="00D70CBD"/>
    <w:rsid w:val="00D72BEA"/>
    <w:rsid w:val="00D73621"/>
    <w:rsid w:val="00D76DCE"/>
    <w:rsid w:val="00D80EE0"/>
    <w:rsid w:val="00D8330A"/>
    <w:rsid w:val="00D83710"/>
    <w:rsid w:val="00D8478A"/>
    <w:rsid w:val="00D84EE4"/>
    <w:rsid w:val="00D867C1"/>
    <w:rsid w:val="00D87052"/>
    <w:rsid w:val="00D93042"/>
    <w:rsid w:val="00D94F04"/>
    <w:rsid w:val="00D9614A"/>
    <w:rsid w:val="00D97A41"/>
    <w:rsid w:val="00DA09FA"/>
    <w:rsid w:val="00DA12D4"/>
    <w:rsid w:val="00DA5A63"/>
    <w:rsid w:val="00DA607C"/>
    <w:rsid w:val="00DA7235"/>
    <w:rsid w:val="00DB0B19"/>
    <w:rsid w:val="00DB2FD7"/>
    <w:rsid w:val="00DC319F"/>
    <w:rsid w:val="00DC3976"/>
    <w:rsid w:val="00DD03C6"/>
    <w:rsid w:val="00DD364B"/>
    <w:rsid w:val="00DD7CF8"/>
    <w:rsid w:val="00DE493D"/>
    <w:rsid w:val="00DE74A7"/>
    <w:rsid w:val="00DF0AB0"/>
    <w:rsid w:val="00DF3BE2"/>
    <w:rsid w:val="00DF4926"/>
    <w:rsid w:val="00E00EC0"/>
    <w:rsid w:val="00E02F2C"/>
    <w:rsid w:val="00E0370E"/>
    <w:rsid w:val="00E04710"/>
    <w:rsid w:val="00E10123"/>
    <w:rsid w:val="00E123C5"/>
    <w:rsid w:val="00E1493D"/>
    <w:rsid w:val="00E20F7F"/>
    <w:rsid w:val="00E2396E"/>
    <w:rsid w:val="00E32551"/>
    <w:rsid w:val="00E35357"/>
    <w:rsid w:val="00E357CF"/>
    <w:rsid w:val="00E37C33"/>
    <w:rsid w:val="00E42CCD"/>
    <w:rsid w:val="00E44171"/>
    <w:rsid w:val="00E47B29"/>
    <w:rsid w:val="00E506E3"/>
    <w:rsid w:val="00E51E59"/>
    <w:rsid w:val="00E627FA"/>
    <w:rsid w:val="00E74BBC"/>
    <w:rsid w:val="00E75510"/>
    <w:rsid w:val="00E76C39"/>
    <w:rsid w:val="00E8084E"/>
    <w:rsid w:val="00E84CA8"/>
    <w:rsid w:val="00E94328"/>
    <w:rsid w:val="00EA6322"/>
    <w:rsid w:val="00EB5000"/>
    <w:rsid w:val="00EC3337"/>
    <w:rsid w:val="00EC4514"/>
    <w:rsid w:val="00EC5F7A"/>
    <w:rsid w:val="00EC688B"/>
    <w:rsid w:val="00EC6F8A"/>
    <w:rsid w:val="00ED2097"/>
    <w:rsid w:val="00ED358B"/>
    <w:rsid w:val="00ED6C0B"/>
    <w:rsid w:val="00EE0CF8"/>
    <w:rsid w:val="00EE2D72"/>
    <w:rsid w:val="00EE2E07"/>
    <w:rsid w:val="00EE2EA0"/>
    <w:rsid w:val="00EE40B8"/>
    <w:rsid w:val="00EE4253"/>
    <w:rsid w:val="00EE6B3E"/>
    <w:rsid w:val="00EF1070"/>
    <w:rsid w:val="00EF30A2"/>
    <w:rsid w:val="00EF3B5C"/>
    <w:rsid w:val="00EF439B"/>
    <w:rsid w:val="00EF6D63"/>
    <w:rsid w:val="00EF720A"/>
    <w:rsid w:val="00F01212"/>
    <w:rsid w:val="00F0682F"/>
    <w:rsid w:val="00F13E04"/>
    <w:rsid w:val="00F1441E"/>
    <w:rsid w:val="00F229A1"/>
    <w:rsid w:val="00F240DC"/>
    <w:rsid w:val="00F26FB5"/>
    <w:rsid w:val="00F3042F"/>
    <w:rsid w:val="00F30F75"/>
    <w:rsid w:val="00F33F7F"/>
    <w:rsid w:val="00F46073"/>
    <w:rsid w:val="00F47618"/>
    <w:rsid w:val="00F476E5"/>
    <w:rsid w:val="00F6169D"/>
    <w:rsid w:val="00F64562"/>
    <w:rsid w:val="00F70688"/>
    <w:rsid w:val="00F76A67"/>
    <w:rsid w:val="00F80075"/>
    <w:rsid w:val="00F85FBF"/>
    <w:rsid w:val="00F867B1"/>
    <w:rsid w:val="00F87307"/>
    <w:rsid w:val="00F9022F"/>
    <w:rsid w:val="00F91C69"/>
    <w:rsid w:val="00F93736"/>
    <w:rsid w:val="00F97B72"/>
    <w:rsid w:val="00FA56A3"/>
    <w:rsid w:val="00FA575A"/>
    <w:rsid w:val="00FA5D19"/>
    <w:rsid w:val="00FA6187"/>
    <w:rsid w:val="00FB118E"/>
    <w:rsid w:val="00FB4908"/>
    <w:rsid w:val="00FB4ED6"/>
    <w:rsid w:val="00FB658B"/>
    <w:rsid w:val="00FC29E7"/>
    <w:rsid w:val="00FC4094"/>
    <w:rsid w:val="00FC5C9A"/>
    <w:rsid w:val="00FD098A"/>
    <w:rsid w:val="00FD2802"/>
    <w:rsid w:val="00FE22D6"/>
    <w:rsid w:val="00FE2383"/>
    <w:rsid w:val="00FE5D6B"/>
    <w:rsid w:val="00FE65CC"/>
    <w:rsid w:val="00FF5546"/>
    <w:rsid w:val="00FF68A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0A9D09B"/>
  <w15:docId w15:val="{7DAD4589-A742-4971-A58B-D3655AC8B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AU" w:eastAsia="en-AU" w:bidi="ar-SA"/>
      </w:rPr>
    </w:rPrDefault>
    <w:pPrDefault>
      <w:pPr>
        <w:spacing w:after="200" w:line="288"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E23"/>
  </w:style>
  <w:style w:type="paragraph" w:styleId="Heading1">
    <w:name w:val="heading 1"/>
    <w:basedOn w:val="Normal"/>
    <w:next w:val="Normal"/>
    <w:link w:val="Heading1Char"/>
    <w:uiPriority w:val="9"/>
    <w:qFormat/>
    <w:rsid w:val="00490E2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490E2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490E2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490E2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490E2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490E23"/>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490E23"/>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490E2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490E2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10pt">
    <w:name w:val="Body text Arial 10pt"/>
    <w:basedOn w:val="Normal"/>
    <w:qFormat/>
    <w:rsid w:val="006927E8"/>
    <w:pPr>
      <w:spacing w:before="120" w:after="120"/>
    </w:pPr>
    <w:rPr>
      <w:rFonts w:ascii="Arial" w:hAnsi="Arial" w:cs="Arial"/>
      <w:sz w:val="20"/>
      <w:szCs w:val="22"/>
    </w:rPr>
  </w:style>
  <w:style w:type="paragraph" w:customStyle="1" w:styleId="Subhead-Arial12ptbold">
    <w:name w:val="Subhead - Arial 12pt bold"/>
    <w:basedOn w:val="Normal"/>
    <w:qFormat/>
    <w:rsid w:val="006927E8"/>
    <w:rPr>
      <w:rFonts w:ascii="Arial Bold" w:hAnsi="Arial Bold"/>
      <w:color w:val="272727"/>
    </w:rPr>
  </w:style>
  <w:style w:type="paragraph" w:customStyle="1" w:styleId="TOCheader">
    <w:name w:val="TOC header"/>
    <w:basedOn w:val="BasicParagraph"/>
    <w:qFormat/>
    <w:rsid w:val="004E4E1A"/>
    <w:pPr>
      <w:tabs>
        <w:tab w:val="right" w:pos="7938"/>
      </w:tabs>
      <w:spacing w:before="200"/>
    </w:pPr>
    <w:rPr>
      <w:rFonts w:ascii="Arial" w:hAnsi="Arial"/>
      <w:b/>
    </w:rPr>
  </w:style>
  <w:style w:type="paragraph" w:customStyle="1" w:styleId="BasicParagraph">
    <w:name w:val="[Basic Paragraph]"/>
    <w:basedOn w:val="Normal"/>
    <w:uiPriority w:val="99"/>
    <w:rsid w:val="00E35F04"/>
    <w:pPr>
      <w:widowControl w:val="0"/>
      <w:autoSpaceDE w:val="0"/>
      <w:autoSpaceDN w:val="0"/>
      <w:adjustRightInd w:val="0"/>
      <w:textAlignment w:val="center"/>
    </w:pPr>
    <w:rPr>
      <w:rFonts w:ascii="MinionPro-Regular" w:hAnsi="MinionPro-Regular" w:cs="MinionPro-Regular"/>
      <w:color w:val="000000"/>
      <w:lang w:val="en-GB"/>
    </w:rPr>
  </w:style>
  <w:style w:type="paragraph" w:customStyle="1" w:styleId="TOCsubhead">
    <w:name w:val="TOC subhead"/>
    <w:basedOn w:val="BasicParagraph"/>
    <w:qFormat/>
    <w:rsid w:val="004E4E1A"/>
    <w:pPr>
      <w:tabs>
        <w:tab w:val="right" w:pos="7938"/>
      </w:tabs>
      <w:spacing w:before="120"/>
    </w:pPr>
    <w:rPr>
      <w:rFonts w:ascii="Arial" w:hAnsi="Arial"/>
      <w:b/>
      <w:sz w:val="20"/>
    </w:rPr>
  </w:style>
  <w:style w:type="paragraph" w:customStyle="1" w:styleId="TOCbody">
    <w:name w:val="TOC body"/>
    <w:basedOn w:val="BasicParagraph"/>
    <w:qFormat/>
    <w:rsid w:val="004E4E1A"/>
    <w:pPr>
      <w:tabs>
        <w:tab w:val="right" w:pos="7938"/>
      </w:tabs>
    </w:pPr>
    <w:rPr>
      <w:rFonts w:ascii="Arial" w:hAnsi="Arial"/>
      <w:sz w:val="20"/>
    </w:rPr>
  </w:style>
  <w:style w:type="paragraph" w:customStyle="1" w:styleId="header14ptorangebold">
    <w:name w:val="header 14pt orange bold"/>
    <w:basedOn w:val="Normal"/>
    <w:uiPriority w:val="99"/>
    <w:rsid w:val="00453AAC"/>
    <w:pPr>
      <w:widowControl w:val="0"/>
      <w:autoSpaceDE w:val="0"/>
      <w:autoSpaceDN w:val="0"/>
      <w:adjustRightInd w:val="0"/>
      <w:spacing w:line="320" w:lineRule="atLeast"/>
      <w:textAlignment w:val="center"/>
    </w:pPr>
    <w:rPr>
      <w:rFonts w:ascii="Arial Bold" w:hAnsi="Arial Bold" w:cs="Futura-Bold"/>
      <w:bCs/>
      <w:color w:val="DF6C08"/>
      <w:sz w:val="28"/>
      <w:szCs w:val="28"/>
      <w:lang w:val="en-GB"/>
    </w:rPr>
  </w:style>
  <w:style w:type="character" w:styleId="Hyperlink">
    <w:name w:val="Hyperlink"/>
    <w:basedOn w:val="DefaultParagraphFont"/>
    <w:uiPriority w:val="99"/>
    <w:rsid w:val="0000224A"/>
    <w:rPr>
      <w:color w:val="0000FF"/>
      <w:u w:val="single"/>
    </w:rPr>
  </w:style>
  <w:style w:type="paragraph" w:styleId="Header">
    <w:name w:val="header"/>
    <w:basedOn w:val="Normal"/>
    <w:link w:val="HeaderChar"/>
    <w:uiPriority w:val="99"/>
    <w:rsid w:val="00561964"/>
    <w:pPr>
      <w:tabs>
        <w:tab w:val="center" w:pos="4320"/>
        <w:tab w:val="right" w:pos="8640"/>
      </w:tabs>
    </w:pPr>
  </w:style>
  <w:style w:type="character" w:customStyle="1" w:styleId="HeaderChar">
    <w:name w:val="Header Char"/>
    <w:basedOn w:val="DefaultParagraphFont"/>
    <w:link w:val="Header"/>
    <w:uiPriority w:val="99"/>
    <w:rsid w:val="00561964"/>
    <w:rPr>
      <w:rFonts w:ascii="Calibri" w:hAnsi="Calibri" w:cs="Calibri"/>
      <w:sz w:val="24"/>
      <w:szCs w:val="24"/>
      <w:lang w:val="en-US" w:bidi="en-US"/>
    </w:rPr>
  </w:style>
  <w:style w:type="paragraph" w:styleId="Footer">
    <w:name w:val="footer"/>
    <w:basedOn w:val="Normal"/>
    <w:link w:val="FooterChar"/>
    <w:uiPriority w:val="99"/>
    <w:rsid w:val="00561964"/>
    <w:pPr>
      <w:tabs>
        <w:tab w:val="center" w:pos="4320"/>
        <w:tab w:val="right" w:pos="8640"/>
      </w:tabs>
    </w:pPr>
  </w:style>
  <w:style w:type="character" w:customStyle="1" w:styleId="FooterChar">
    <w:name w:val="Footer Char"/>
    <w:basedOn w:val="DefaultParagraphFont"/>
    <w:link w:val="Footer"/>
    <w:uiPriority w:val="99"/>
    <w:rsid w:val="00561964"/>
    <w:rPr>
      <w:rFonts w:ascii="Calibri" w:hAnsi="Calibri" w:cs="Calibri"/>
      <w:sz w:val="24"/>
      <w:szCs w:val="24"/>
      <w:lang w:val="en-US" w:bidi="en-US"/>
    </w:rPr>
  </w:style>
  <w:style w:type="paragraph" w:styleId="FootnoteText">
    <w:name w:val="footnote text"/>
    <w:basedOn w:val="Normal"/>
    <w:link w:val="FootnoteTextChar"/>
    <w:uiPriority w:val="99"/>
    <w:rsid w:val="00AE2646"/>
    <w:rPr>
      <w:sz w:val="20"/>
      <w:szCs w:val="20"/>
    </w:rPr>
  </w:style>
  <w:style w:type="character" w:customStyle="1" w:styleId="FootnoteTextChar">
    <w:name w:val="Footnote Text Char"/>
    <w:basedOn w:val="DefaultParagraphFont"/>
    <w:link w:val="FootnoteText"/>
    <w:uiPriority w:val="99"/>
    <w:rsid w:val="00AE2646"/>
    <w:rPr>
      <w:rFonts w:ascii="Calibri" w:hAnsi="Calibri" w:cs="Calibri"/>
      <w:lang w:val="en-US" w:eastAsia="en-US" w:bidi="en-US"/>
    </w:rPr>
  </w:style>
  <w:style w:type="character" w:styleId="FootnoteReference">
    <w:name w:val="footnote reference"/>
    <w:basedOn w:val="DefaultParagraphFont"/>
    <w:uiPriority w:val="99"/>
    <w:rsid w:val="00AE2646"/>
    <w:rPr>
      <w:vertAlign w:val="superscript"/>
    </w:rPr>
  </w:style>
  <w:style w:type="paragraph" w:styleId="BalloonText">
    <w:name w:val="Balloon Text"/>
    <w:basedOn w:val="Normal"/>
    <w:link w:val="BalloonTextChar"/>
    <w:uiPriority w:val="99"/>
    <w:rsid w:val="003750CA"/>
    <w:rPr>
      <w:rFonts w:ascii="Tahoma" w:hAnsi="Tahoma" w:cs="Tahoma"/>
      <w:sz w:val="16"/>
      <w:szCs w:val="16"/>
    </w:rPr>
  </w:style>
  <w:style w:type="character" w:customStyle="1" w:styleId="BalloonTextChar">
    <w:name w:val="Balloon Text Char"/>
    <w:basedOn w:val="DefaultParagraphFont"/>
    <w:link w:val="BalloonText"/>
    <w:uiPriority w:val="99"/>
    <w:rsid w:val="003750CA"/>
    <w:rPr>
      <w:rFonts w:ascii="Tahoma" w:hAnsi="Tahoma" w:cs="Tahoma"/>
      <w:sz w:val="16"/>
      <w:szCs w:val="16"/>
      <w:lang w:val="en-US" w:eastAsia="en-US" w:bidi="en-US"/>
    </w:rPr>
  </w:style>
  <w:style w:type="paragraph" w:styleId="ListParagraph">
    <w:name w:val="List Paragraph"/>
    <w:basedOn w:val="Normal"/>
    <w:uiPriority w:val="34"/>
    <w:qFormat/>
    <w:rsid w:val="00D50E7D"/>
    <w:pPr>
      <w:ind w:left="720"/>
      <w:contextualSpacing/>
    </w:pPr>
  </w:style>
  <w:style w:type="paragraph" w:customStyle="1" w:styleId="p">
    <w:name w:val="p"/>
    <w:basedOn w:val="Normal"/>
    <w:rsid w:val="00D50E7D"/>
    <w:pPr>
      <w:ind w:left="75" w:right="75"/>
    </w:pPr>
    <w:rPr>
      <w:rFonts w:ascii="Arial" w:hAnsi="Arial" w:cs="Arial"/>
      <w:sz w:val="20"/>
      <w:szCs w:val="20"/>
    </w:rPr>
  </w:style>
  <w:style w:type="character" w:styleId="CommentReference">
    <w:name w:val="annotation reference"/>
    <w:basedOn w:val="DefaultParagraphFont"/>
    <w:uiPriority w:val="99"/>
    <w:rsid w:val="00D50E7D"/>
    <w:rPr>
      <w:sz w:val="16"/>
      <w:szCs w:val="16"/>
    </w:rPr>
  </w:style>
  <w:style w:type="paragraph" w:styleId="CommentText">
    <w:name w:val="annotation text"/>
    <w:basedOn w:val="Normal"/>
    <w:link w:val="CommentTextChar"/>
    <w:uiPriority w:val="99"/>
    <w:rsid w:val="00D50E7D"/>
    <w:rPr>
      <w:sz w:val="20"/>
      <w:szCs w:val="20"/>
    </w:rPr>
  </w:style>
  <w:style w:type="character" w:customStyle="1" w:styleId="CommentTextChar">
    <w:name w:val="Comment Text Char"/>
    <w:basedOn w:val="DefaultParagraphFont"/>
    <w:link w:val="CommentText"/>
    <w:uiPriority w:val="99"/>
    <w:rsid w:val="00D50E7D"/>
    <w:rPr>
      <w:rFonts w:ascii="Calibri" w:hAnsi="Calibri" w:cs="Calibri"/>
      <w:lang w:val="en-US" w:eastAsia="en-US" w:bidi="en-US"/>
    </w:rPr>
  </w:style>
  <w:style w:type="paragraph" w:customStyle="1" w:styleId="TTH">
    <w:name w:val="TTH"/>
    <w:basedOn w:val="Normal"/>
    <w:rsid w:val="00586B57"/>
    <w:pPr>
      <w:pBdr>
        <w:bottom w:val="single" w:sz="4" w:space="1" w:color="000080"/>
      </w:pBdr>
    </w:pPr>
    <w:rPr>
      <w:rFonts w:ascii="Arial Narrow" w:hAnsi="Arial Narrow"/>
      <w:b/>
      <w:color w:val="083A75"/>
    </w:rPr>
  </w:style>
  <w:style w:type="paragraph" w:customStyle="1" w:styleId="TTSH">
    <w:name w:val="TTSH"/>
    <w:basedOn w:val="Normal"/>
    <w:rsid w:val="00586B57"/>
    <w:rPr>
      <w:rFonts w:ascii="Arial Narrow" w:hAnsi="Arial Narrow"/>
      <w:b/>
      <w:color w:val="1F497D"/>
      <w:sz w:val="22"/>
      <w:szCs w:val="22"/>
    </w:rPr>
  </w:style>
  <w:style w:type="paragraph" w:customStyle="1" w:styleId="base-text-paragraph">
    <w:name w:val="base-text-paragraph"/>
    <w:basedOn w:val="Normal"/>
    <w:link w:val="base-text-paragraphChar"/>
    <w:rsid w:val="00586B57"/>
    <w:pPr>
      <w:tabs>
        <w:tab w:val="num" w:pos="0"/>
      </w:tabs>
      <w:spacing w:before="120" w:after="120"/>
    </w:pPr>
    <w:rPr>
      <w:rFonts w:ascii="Times New Roman" w:hAnsi="Times New Roman"/>
      <w:sz w:val="22"/>
      <w:szCs w:val="20"/>
      <w:lang w:eastAsia="ar-SA"/>
    </w:rPr>
  </w:style>
  <w:style w:type="paragraph" w:customStyle="1" w:styleId="IPAHeading">
    <w:name w:val="IPA Heading"/>
    <w:basedOn w:val="header14ptorangebold"/>
    <w:autoRedefine/>
    <w:qFormat/>
    <w:rsid w:val="008542A0"/>
    <w:pPr>
      <w:spacing w:after="240" w:line="240" w:lineRule="exact"/>
      <w:ind w:right="559"/>
    </w:pPr>
    <w:rPr>
      <w:rFonts w:ascii="Arial" w:hAnsi="Arial" w:cs="Arial"/>
      <w:b/>
      <w:bCs w:val="0"/>
      <w:color w:val="E36C0A" w:themeColor="accent6" w:themeShade="BF"/>
      <w:sz w:val="24"/>
      <w:szCs w:val="24"/>
    </w:rPr>
  </w:style>
  <w:style w:type="paragraph" w:customStyle="1" w:styleId="IPASubHeading">
    <w:name w:val="IPA Sub Heading"/>
    <w:basedOn w:val="Normal"/>
    <w:autoRedefine/>
    <w:qFormat/>
    <w:rsid w:val="00017E1A"/>
    <w:pPr>
      <w:jc w:val="both"/>
    </w:pPr>
    <w:rPr>
      <w:rFonts w:ascii="Arial" w:hAnsi="Arial" w:cs="Arial"/>
      <w:b/>
      <w:i/>
      <w:color w:val="595959"/>
      <w:sz w:val="20"/>
      <w:szCs w:val="20"/>
    </w:rPr>
  </w:style>
  <w:style w:type="character" w:styleId="FollowedHyperlink">
    <w:name w:val="FollowedHyperlink"/>
    <w:basedOn w:val="DefaultParagraphFont"/>
    <w:rsid w:val="00B4372A"/>
    <w:rPr>
      <w:color w:val="800080"/>
      <w:u w:val="single"/>
    </w:rPr>
  </w:style>
  <w:style w:type="paragraph" w:styleId="TOC2">
    <w:name w:val="toc 2"/>
    <w:basedOn w:val="Normal"/>
    <w:next w:val="Normal"/>
    <w:autoRedefine/>
    <w:uiPriority w:val="39"/>
    <w:rsid w:val="00F6169D"/>
    <w:pPr>
      <w:spacing w:after="100"/>
      <w:ind w:left="240"/>
    </w:pPr>
    <w:rPr>
      <w:rFonts w:ascii="Arial" w:hAnsi="Arial"/>
      <w:color w:val="484E41"/>
      <w:sz w:val="20"/>
    </w:rPr>
  </w:style>
  <w:style w:type="paragraph" w:styleId="TOC1">
    <w:name w:val="toc 1"/>
    <w:basedOn w:val="Normal"/>
    <w:next w:val="Normal"/>
    <w:autoRedefine/>
    <w:uiPriority w:val="39"/>
    <w:rsid w:val="009B046E"/>
    <w:pPr>
      <w:tabs>
        <w:tab w:val="right" w:leader="dot" w:pos="9054"/>
      </w:tabs>
      <w:spacing w:after="100"/>
    </w:pPr>
    <w:rPr>
      <w:b/>
      <w:noProof/>
      <w:color w:val="484E41"/>
      <w:sz w:val="24"/>
      <w:szCs w:val="24"/>
    </w:rPr>
  </w:style>
  <w:style w:type="character" w:styleId="Emphasis">
    <w:name w:val="Emphasis"/>
    <w:basedOn w:val="DefaultParagraphFont"/>
    <w:uiPriority w:val="20"/>
    <w:qFormat/>
    <w:rsid w:val="00490E23"/>
    <w:rPr>
      <w:i/>
      <w:iCs/>
      <w:color w:val="F79646" w:themeColor="accent6"/>
    </w:rPr>
  </w:style>
  <w:style w:type="paragraph" w:customStyle="1" w:styleId="Default">
    <w:name w:val="Default"/>
    <w:rsid w:val="00DF4926"/>
    <w:pPr>
      <w:autoSpaceDE w:val="0"/>
      <w:autoSpaceDN w:val="0"/>
      <w:adjustRightInd w:val="0"/>
    </w:pPr>
    <w:rPr>
      <w:rFonts w:eastAsia="Calibri"/>
      <w:color w:val="000000"/>
      <w:sz w:val="24"/>
      <w:szCs w:val="24"/>
      <w:lang w:eastAsia="en-US"/>
    </w:rPr>
  </w:style>
  <w:style w:type="paragraph" w:customStyle="1" w:styleId="OneLevelNumberedParagraph">
    <w:name w:val="One Level Numbered Paragraph"/>
    <w:basedOn w:val="Normal"/>
    <w:rsid w:val="00DF4926"/>
    <w:pPr>
      <w:numPr>
        <w:numId w:val="1"/>
      </w:numPr>
      <w:spacing w:after="240" w:line="280" w:lineRule="exact"/>
      <w:jc w:val="both"/>
    </w:pPr>
    <w:rPr>
      <w:rFonts w:cs="Times New Roman"/>
      <w:color w:val="000000"/>
      <w:sz w:val="22"/>
      <w:szCs w:val="20"/>
    </w:rPr>
  </w:style>
  <w:style w:type="paragraph" w:styleId="CommentSubject">
    <w:name w:val="annotation subject"/>
    <w:basedOn w:val="CommentText"/>
    <w:next w:val="CommentText"/>
    <w:link w:val="CommentSubjectChar"/>
    <w:uiPriority w:val="99"/>
    <w:unhideWhenUsed/>
    <w:rsid w:val="00DF4926"/>
    <w:rPr>
      <w:b/>
      <w:bCs/>
    </w:rPr>
  </w:style>
  <w:style w:type="character" w:customStyle="1" w:styleId="CommentSubjectChar">
    <w:name w:val="Comment Subject Char"/>
    <w:basedOn w:val="CommentTextChar"/>
    <w:link w:val="CommentSubject"/>
    <w:uiPriority w:val="99"/>
    <w:rsid w:val="00DF4926"/>
    <w:rPr>
      <w:rFonts w:ascii="Calibri" w:hAnsi="Calibri" w:cs="Calibri"/>
      <w:b/>
      <w:bCs/>
      <w:lang w:val="en-US" w:eastAsia="en-US" w:bidi="en-US"/>
    </w:rPr>
  </w:style>
  <w:style w:type="paragraph" w:customStyle="1" w:styleId="CM26">
    <w:name w:val="CM26"/>
    <w:basedOn w:val="Default"/>
    <w:next w:val="Default"/>
    <w:uiPriority w:val="99"/>
    <w:rsid w:val="00823EF8"/>
    <w:rPr>
      <w:rFonts w:ascii="Calibri" w:eastAsia="SimSun" w:hAnsi="Calibri"/>
      <w:color w:val="auto"/>
      <w:lang w:eastAsia="en-AU"/>
    </w:rPr>
  </w:style>
  <w:style w:type="paragraph" w:customStyle="1" w:styleId="BoxHeading">
    <w:name w:val="Box Heading"/>
    <w:basedOn w:val="Normal"/>
    <w:next w:val="BoxText"/>
    <w:rsid w:val="006946EA"/>
    <w:pPr>
      <w:keepNext/>
      <w:spacing w:before="240" w:after="120"/>
    </w:pPr>
    <w:rPr>
      <w:rFonts w:cs="Times New Roman"/>
      <w:b/>
      <w:color w:val="342E82"/>
      <w:sz w:val="22"/>
      <w:szCs w:val="20"/>
    </w:rPr>
  </w:style>
  <w:style w:type="paragraph" w:customStyle="1" w:styleId="BoxText">
    <w:name w:val="Box Text"/>
    <w:basedOn w:val="Normal"/>
    <w:rsid w:val="006946EA"/>
    <w:pPr>
      <w:spacing w:after="240" w:line="280" w:lineRule="exact"/>
      <w:jc w:val="both"/>
    </w:pPr>
    <w:rPr>
      <w:rFonts w:cs="Times New Roman"/>
      <w:color w:val="000000"/>
      <w:sz w:val="22"/>
      <w:szCs w:val="20"/>
    </w:rPr>
  </w:style>
  <w:style w:type="character" w:customStyle="1" w:styleId="uficommentbody">
    <w:name w:val="uficommentbody"/>
    <w:basedOn w:val="DefaultParagraphFont"/>
    <w:rsid w:val="00AC6BC9"/>
  </w:style>
  <w:style w:type="table" w:styleId="TableGrid">
    <w:name w:val="Table Grid"/>
    <w:basedOn w:val="TableNormal"/>
    <w:uiPriority w:val="39"/>
    <w:rsid w:val="00422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90E2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490E2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490E2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490E23"/>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490E2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490E23"/>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490E23"/>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490E23"/>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490E23"/>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490E23"/>
    <w:pPr>
      <w:spacing w:line="240" w:lineRule="auto"/>
    </w:pPr>
    <w:rPr>
      <w:b/>
      <w:bCs/>
      <w:smallCaps/>
      <w:color w:val="595959" w:themeColor="text1" w:themeTint="A6"/>
    </w:rPr>
  </w:style>
  <w:style w:type="paragraph" w:styleId="Title">
    <w:name w:val="Title"/>
    <w:basedOn w:val="Normal"/>
    <w:next w:val="Normal"/>
    <w:link w:val="TitleChar"/>
    <w:uiPriority w:val="10"/>
    <w:qFormat/>
    <w:rsid w:val="00490E2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490E2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490E2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490E23"/>
    <w:rPr>
      <w:rFonts w:asciiTheme="majorHAnsi" w:eastAsiaTheme="majorEastAsia" w:hAnsiTheme="majorHAnsi" w:cstheme="majorBidi"/>
      <w:sz w:val="30"/>
      <w:szCs w:val="30"/>
    </w:rPr>
  </w:style>
  <w:style w:type="character" w:styleId="Strong">
    <w:name w:val="Strong"/>
    <w:basedOn w:val="DefaultParagraphFont"/>
    <w:uiPriority w:val="22"/>
    <w:qFormat/>
    <w:rsid w:val="00490E23"/>
    <w:rPr>
      <w:b/>
      <w:bCs/>
    </w:rPr>
  </w:style>
  <w:style w:type="paragraph" w:styleId="NoSpacing">
    <w:name w:val="No Spacing"/>
    <w:uiPriority w:val="1"/>
    <w:qFormat/>
    <w:rsid w:val="00490E23"/>
    <w:pPr>
      <w:spacing w:after="0" w:line="240" w:lineRule="auto"/>
    </w:pPr>
  </w:style>
  <w:style w:type="paragraph" w:styleId="Quote">
    <w:name w:val="Quote"/>
    <w:basedOn w:val="Normal"/>
    <w:next w:val="Normal"/>
    <w:link w:val="QuoteChar"/>
    <w:uiPriority w:val="29"/>
    <w:qFormat/>
    <w:rsid w:val="00490E2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490E23"/>
    <w:rPr>
      <w:i/>
      <w:iCs/>
      <w:color w:val="262626" w:themeColor="text1" w:themeTint="D9"/>
    </w:rPr>
  </w:style>
  <w:style w:type="paragraph" w:styleId="IntenseQuote">
    <w:name w:val="Intense Quote"/>
    <w:basedOn w:val="Normal"/>
    <w:next w:val="Normal"/>
    <w:link w:val="IntenseQuoteChar"/>
    <w:uiPriority w:val="30"/>
    <w:qFormat/>
    <w:rsid w:val="00490E2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490E23"/>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490E23"/>
    <w:rPr>
      <w:i/>
      <w:iCs/>
    </w:rPr>
  </w:style>
  <w:style w:type="character" w:styleId="IntenseEmphasis">
    <w:name w:val="Intense Emphasis"/>
    <w:basedOn w:val="DefaultParagraphFont"/>
    <w:uiPriority w:val="21"/>
    <w:qFormat/>
    <w:rsid w:val="00490E23"/>
    <w:rPr>
      <w:b/>
      <w:bCs/>
      <w:i/>
      <w:iCs/>
    </w:rPr>
  </w:style>
  <w:style w:type="character" w:styleId="SubtleReference">
    <w:name w:val="Subtle Reference"/>
    <w:basedOn w:val="DefaultParagraphFont"/>
    <w:uiPriority w:val="31"/>
    <w:qFormat/>
    <w:rsid w:val="00490E23"/>
    <w:rPr>
      <w:smallCaps/>
      <w:color w:val="595959" w:themeColor="text1" w:themeTint="A6"/>
    </w:rPr>
  </w:style>
  <w:style w:type="character" w:styleId="IntenseReference">
    <w:name w:val="Intense Reference"/>
    <w:basedOn w:val="DefaultParagraphFont"/>
    <w:uiPriority w:val="32"/>
    <w:qFormat/>
    <w:rsid w:val="00490E23"/>
    <w:rPr>
      <w:b/>
      <w:bCs/>
      <w:smallCaps/>
      <w:color w:val="F79646" w:themeColor="accent6"/>
    </w:rPr>
  </w:style>
  <w:style w:type="character" w:styleId="BookTitle">
    <w:name w:val="Book Title"/>
    <w:basedOn w:val="DefaultParagraphFont"/>
    <w:uiPriority w:val="33"/>
    <w:qFormat/>
    <w:rsid w:val="00490E23"/>
    <w:rPr>
      <w:b/>
      <w:bCs/>
      <w:caps w:val="0"/>
      <w:smallCaps/>
      <w:spacing w:val="7"/>
      <w:sz w:val="21"/>
      <w:szCs w:val="21"/>
    </w:rPr>
  </w:style>
  <w:style w:type="paragraph" w:styleId="TOCHeading">
    <w:name w:val="TOC Heading"/>
    <w:basedOn w:val="Heading1"/>
    <w:next w:val="Normal"/>
    <w:uiPriority w:val="39"/>
    <w:semiHidden/>
    <w:unhideWhenUsed/>
    <w:qFormat/>
    <w:rsid w:val="00490E23"/>
    <w:pPr>
      <w:outlineLvl w:val="9"/>
    </w:pPr>
  </w:style>
  <w:style w:type="paragraph" w:styleId="NormalWeb">
    <w:name w:val="Normal (Web)"/>
    <w:basedOn w:val="Normal"/>
    <w:uiPriority w:val="99"/>
    <w:semiHidden/>
    <w:unhideWhenUsed/>
    <w:rsid w:val="00280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Heading">
    <w:name w:val="Chapter Heading"/>
    <w:next w:val="Heading2"/>
    <w:rsid w:val="005F1860"/>
    <w:pPr>
      <w:pBdr>
        <w:top w:val="single" w:sz="4" w:space="1" w:color="auto"/>
        <w:bottom w:val="single" w:sz="4" w:space="1" w:color="auto"/>
      </w:pBdr>
      <w:tabs>
        <w:tab w:val="num" w:pos="1134"/>
      </w:tabs>
      <w:spacing w:before="240" w:after="0" w:line="260" w:lineRule="atLeast"/>
    </w:pPr>
    <w:rPr>
      <w:rFonts w:ascii="Helvetica" w:eastAsia="Times New Roman" w:hAnsi="Helvetica" w:cs="Times New Roman"/>
      <w:b/>
      <w:i/>
      <w:sz w:val="38"/>
      <w:szCs w:val="20"/>
    </w:rPr>
  </w:style>
  <w:style w:type="paragraph" w:customStyle="1" w:styleId="TableHeadingoutsidetable">
    <w:name w:val="Table Heading (outside table)"/>
    <w:basedOn w:val="Heading4"/>
    <w:rsid w:val="005F1860"/>
    <w:pPr>
      <w:keepLines w:val="0"/>
      <w:tabs>
        <w:tab w:val="num" w:pos="360"/>
      </w:tabs>
      <w:spacing w:before="120" w:after="120" w:line="240" w:lineRule="auto"/>
    </w:pPr>
    <w:rPr>
      <w:rFonts w:ascii="Times New Roman" w:eastAsia="Times New Roman" w:hAnsi="Times New Roman" w:cs="Times New Roman"/>
      <w:b/>
      <w:color w:val="auto"/>
      <w:szCs w:val="20"/>
    </w:rPr>
  </w:style>
  <w:style w:type="paragraph" w:customStyle="1" w:styleId="ExampleHeading">
    <w:name w:val="Example Heading"/>
    <w:basedOn w:val="Normal"/>
    <w:next w:val="Normal"/>
    <w:rsid w:val="005F1860"/>
    <w:pPr>
      <w:keepNext/>
      <w:tabs>
        <w:tab w:val="num" w:pos="360"/>
      </w:tabs>
      <w:spacing w:before="120" w:after="120" w:line="240" w:lineRule="auto"/>
      <w:ind w:left="1134"/>
    </w:pPr>
    <w:rPr>
      <w:rFonts w:ascii="Times New Roman" w:eastAsia="Times New Roman" w:hAnsi="Times New Roman" w:cs="Times New Roman"/>
      <w:b/>
      <w:sz w:val="22"/>
      <w:szCs w:val="20"/>
    </w:rPr>
  </w:style>
  <w:style w:type="paragraph" w:customStyle="1" w:styleId="Diagram">
    <w:name w:val="Diagram"/>
    <w:basedOn w:val="Normal"/>
    <w:next w:val="Normal"/>
    <w:rsid w:val="005F1860"/>
    <w:pPr>
      <w:keepNext/>
      <w:tabs>
        <w:tab w:val="num" w:pos="360"/>
      </w:tabs>
      <w:spacing w:after="0" w:line="240" w:lineRule="auto"/>
      <w:ind w:left="1134"/>
    </w:pPr>
    <w:rPr>
      <w:rFonts w:ascii="Times New Roman" w:eastAsia="Times New Roman" w:hAnsi="Times New Roman" w:cs="Times New Roman"/>
      <w:b/>
      <w:sz w:val="22"/>
      <w:szCs w:val="20"/>
    </w:rPr>
  </w:style>
  <w:style w:type="character" w:customStyle="1" w:styleId="base-text-paragraphChar">
    <w:name w:val="base-text-paragraph Char"/>
    <w:basedOn w:val="DefaultParagraphFont"/>
    <w:link w:val="base-text-paragraph"/>
    <w:rsid w:val="005F1860"/>
    <w:rPr>
      <w:rFonts w:ascii="Times New Roman" w:hAnsi="Times New Roman"/>
      <w:sz w:val="22"/>
      <w:szCs w:val="20"/>
      <w:lang w:eastAsia="ar-SA"/>
    </w:rPr>
  </w:style>
  <w:style w:type="numbering" w:customStyle="1" w:styleId="ChapterList">
    <w:name w:val="ChapterList"/>
    <w:uiPriority w:val="99"/>
    <w:rsid w:val="005F1860"/>
    <w:pPr>
      <w:numPr>
        <w:numId w:val="21"/>
      </w:numPr>
    </w:pPr>
  </w:style>
  <w:style w:type="paragraph" w:styleId="Revision">
    <w:name w:val="Revision"/>
    <w:hidden/>
    <w:semiHidden/>
    <w:rsid w:val="002E38C9"/>
    <w:pPr>
      <w:spacing w:after="0" w:line="240" w:lineRule="auto"/>
    </w:pPr>
  </w:style>
  <w:style w:type="paragraph" w:customStyle="1" w:styleId="paragraph">
    <w:name w:val="paragraph"/>
    <w:basedOn w:val="Normal"/>
    <w:rsid w:val="003904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ub">
    <w:name w:val="paragraphsub"/>
    <w:basedOn w:val="Normal"/>
    <w:rsid w:val="003904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ection2">
    <w:name w:val="subsection2"/>
    <w:basedOn w:val="Normal"/>
    <w:rsid w:val="003904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976953">
      <w:bodyDiv w:val="1"/>
      <w:marLeft w:val="0"/>
      <w:marRight w:val="0"/>
      <w:marTop w:val="0"/>
      <w:marBottom w:val="0"/>
      <w:divBdr>
        <w:top w:val="none" w:sz="0" w:space="0" w:color="auto"/>
        <w:left w:val="none" w:sz="0" w:space="0" w:color="auto"/>
        <w:bottom w:val="none" w:sz="0" w:space="0" w:color="auto"/>
        <w:right w:val="none" w:sz="0" w:space="0" w:color="auto"/>
      </w:divBdr>
      <w:divsChild>
        <w:div w:id="778911502">
          <w:marLeft w:val="0"/>
          <w:marRight w:val="0"/>
          <w:marTop w:val="0"/>
          <w:marBottom w:val="0"/>
          <w:divBdr>
            <w:top w:val="none" w:sz="0" w:space="0" w:color="auto"/>
            <w:left w:val="none" w:sz="0" w:space="0" w:color="auto"/>
            <w:bottom w:val="none" w:sz="0" w:space="0" w:color="auto"/>
            <w:right w:val="none" w:sz="0" w:space="0" w:color="auto"/>
          </w:divBdr>
        </w:div>
        <w:div w:id="420105416">
          <w:marLeft w:val="0"/>
          <w:marRight w:val="0"/>
          <w:marTop w:val="0"/>
          <w:marBottom w:val="0"/>
          <w:divBdr>
            <w:top w:val="none" w:sz="0" w:space="0" w:color="auto"/>
            <w:left w:val="none" w:sz="0" w:space="0" w:color="auto"/>
            <w:bottom w:val="none" w:sz="0" w:space="0" w:color="auto"/>
            <w:right w:val="none" w:sz="0" w:space="0" w:color="auto"/>
          </w:divBdr>
        </w:div>
        <w:div w:id="555236730">
          <w:marLeft w:val="0"/>
          <w:marRight w:val="0"/>
          <w:marTop w:val="0"/>
          <w:marBottom w:val="0"/>
          <w:divBdr>
            <w:top w:val="none" w:sz="0" w:space="0" w:color="auto"/>
            <w:left w:val="none" w:sz="0" w:space="0" w:color="auto"/>
            <w:bottom w:val="none" w:sz="0" w:space="0" w:color="auto"/>
            <w:right w:val="none" w:sz="0" w:space="0" w:color="auto"/>
          </w:divBdr>
        </w:div>
        <w:div w:id="2106995434">
          <w:marLeft w:val="0"/>
          <w:marRight w:val="0"/>
          <w:marTop w:val="0"/>
          <w:marBottom w:val="0"/>
          <w:divBdr>
            <w:top w:val="none" w:sz="0" w:space="0" w:color="auto"/>
            <w:left w:val="none" w:sz="0" w:space="0" w:color="auto"/>
            <w:bottom w:val="none" w:sz="0" w:space="0" w:color="auto"/>
            <w:right w:val="none" w:sz="0" w:space="0" w:color="auto"/>
          </w:divBdr>
        </w:div>
        <w:div w:id="1137383408">
          <w:marLeft w:val="0"/>
          <w:marRight w:val="0"/>
          <w:marTop w:val="0"/>
          <w:marBottom w:val="0"/>
          <w:divBdr>
            <w:top w:val="none" w:sz="0" w:space="0" w:color="auto"/>
            <w:left w:val="none" w:sz="0" w:space="0" w:color="auto"/>
            <w:bottom w:val="none" w:sz="0" w:space="0" w:color="auto"/>
            <w:right w:val="none" w:sz="0" w:space="0" w:color="auto"/>
          </w:divBdr>
        </w:div>
        <w:div w:id="1672559849">
          <w:marLeft w:val="0"/>
          <w:marRight w:val="0"/>
          <w:marTop w:val="0"/>
          <w:marBottom w:val="0"/>
          <w:divBdr>
            <w:top w:val="none" w:sz="0" w:space="0" w:color="auto"/>
            <w:left w:val="none" w:sz="0" w:space="0" w:color="auto"/>
            <w:bottom w:val="none" w:sz="0" w:space="0" w:color="auto"/>
            <w:right w:val="none" w:sz="0" w:space="0" w:color="auto"/>
          </w:divBdr>
        </w:div>
        <w:div w:id="1403140908">
          <w:marLeft w:val="0"/>
          <w:marRight w:val="0"/>
          <w:marTop w:val="0"/>
          <w:marBottom w:val="0"/>
          <w:divBdr>
            <w:top w:val="none" w:sz="0" w:space="0" w:color="auto"/>
            <w:left w:val="none" w:sz="0" w:space="0" w:color="auto"/>
            <w:bottom w:val="none" w:sz="0" w:space="0" w:color="auto"/>
            <w:right w:val="none" w:sz="0" w:space="0" w:color="auto"/>
          </w:divBdr>
        </w:div>
      </w:divsChild>
    </w:div>
    <w:div w:id="427044551">
      <w:bodyDiv w:val="1"/>
      <w:marLeft w:val="0"/>
      <w:marRight w:val="0"/>
      <w:marTop w:val="0"/>
      <w:marBottom w:val="0"/>
      <w:divBdr>
        <w:top w:val="none" w:sz="0" w:space="0" w:color="auto"/>
        <w:left w:val="none" w:sz="0" w:space="0" w:color="auto"/>
        <w:bottom w:val="none" w:sz="0" w:space="0" w:color="auto"/>
        <w:right w:val="none" w:sz="0" w:space="0" w:color="auto"/>
      </w:divBdr>
      <w:divsChild>
        <w:div w:id="19092109">
          <w:marLeft w:val="0"/>
          <w:marRight w:val="0"/>
          <w:marTop w:val="0"/>
          <w:marBottom w:val="0"/>
          <w:divBdr>
            <w:top w:val="none" w:sz="0" w:space="0" w:color="auto"/>
            <w:left w:val="none" w:sz="0" w:space="0" w:color="auto"/>
            <w:bottom w:val="none" w:sz="0" w:space="0" w:color="auto"/>
            <w:right w:val="none" w:sz="0" w:space="0" w:color="auto"/>
          </w:divBdr>
          <w:divsChild>
            <w:div w:id="1781603557">
              <w:marLeft w:val="0"/>
              <w:marRight w:val="0"/>
              <w:marTop w:val="0"/>
              <w:marBottom w:val="0"/>
              <w:divBdr>
                <w:top w:val="none" w:sz="0" w:space="0" w:color="auto"/>
                <w:left w:val="none" w:sz="0" w:space="0" w:color="auto"/>
                <w:bottom w:val="none" w:sz="0" w:space="0" w:color="auto"/>
                <w:right w:val="none" w:sz="0" w:space="0" w:color="auto"/>
              </w:divBdr>
              <w:divsChild>
                <w:div w:id="71198586">
                  <w:marLeft w:val="0"/>
                  <w:marRight w:val="0"/>
                  <w:marTop w:val="0"/>
                  <w:marBottom w:val="0"/>
                  <w:divBdr>
                    <w:top w:val="none" w:sz="0" w:space="0" w:color="auto"/>
                    <w:left w:val="none" w:sz="0" w:space="0" w:color="auto"/>
                    <w:bottom w:val="none" w:sz="0" w:space="0" w:color="auto"/>
                    <w:right w:val="none" w:sz="0" w:space="0" w:color="auto"/>
                  </w:divBdr>
                  <w:divsChild>
                    <w:div w:id="142314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131860">
      <w:bodyDiv w:val="1"/>
      <w:marLeft w:val="0"/>
      <w:marRight w:val="0"/>
      <w:marTop w:val="0"/>
      <w:marBottom w:val="0"/>
      <w:divBdr>
        <w:top w:val="none" w:sz="0" w:space="0" w:color="auto"/>
        <w:left w:val="none" w:sz="0" w:space="0" w:color="auto"/>
        <w:bottom w:val="none" w:sz="0" w:space="0" w:color="auto"/>
        <w:right w:val="none" w:sz="0" w:space="0" w:color="auto"/>
      </w:divBdr>
    </w:div>
    <w:div w:id="477262230">
      <w:bodyDiv w:val="1"/>
      <w:marLeft w:val="0"/>
      <w:marRight w:val="0"/>
      <w:marTop w:val="0"/>
      <w:marBottom w:val="0"/>
      <w:divBdr>
        <w:top w:val="none" w:sz="0" w:space="0" w:color="auto"/>
        <w:left w:val="none" w:sz="0" w:space="0" w:color="auto"/>
        <w:bottom w:val="none" w:sz="0" w:space="0" w:color="auto"/>
        <w:right w:val="none" w:sz="0" w:space="0" w:color="auto"/>
      </w:divBdr>
    </w:div>
    <w:div w:id="614168487">
      <w:bodyDiv w:val="1"/>
      <w:marLeft w:val="0"/>
      <w:marRight w:val="0"/>
      <w:marTop w:val="0"/>
      <w:marBottom w:val="0"/>
      <w:divBdr>
        <w:top w:val="none" w:sz="0" w:space="0" w:color="auto"/>
        <w:left w:val="none" w:sz="0" w:space="0" w:color="auto"/>
        <w:bottom w:val="none" w:sz="0" w:space="0" w:color="auto"/>
        <w:right w:val="none" w:sz="0" w:space="0" w:color="auto"/>
      </w:divBdr>
      <w:divsChild>
        <w:div w:id="514003586">
          <w:marLeft w:val="0"/>
          <w:marRight w:val="0"/>
          <w:marTop w:val="0"/>
          <w:marBottom w:val="0"/>
          <w:divBdr>
            <w:top w:val="none" w:sz="0" w:space="0" w:color="auto"/>
            <w:left w:val="none" w:sz="0" w:space="0" w:color="auto"/>
            <w:bottom w:val="none" w:sz="0" w:space="0" w:color="auto"/>
            <w:right w:val="none" w:sz="0" w:space="0" w:color="auto"/>
          </w:divBdr>
        </w:div>
        <w:div w:id="10956838">
          <w:marLeft w:val="0"/>
          <w:marRight w:val="0"/>
          <w:marTop w:val="0"/>
          <w:marBottom w:val="0"/>
          <w:divBdr>
            <w:top w:val="none" w:sz="0" w:space="0" w:color="auto"/>
            <w:left w:val="none" w:sz="0" w:space="0" w:color="auto"/>
            <w:bottom w:val="none" w:sz="0" w:space="0" w:color="auto"/>
            <w:right w:val="none" w:sz="0" w:space="0" w:color="auto"/>
          </w:divBdr>
        </w:div>
        <w:div w:id="938412219">
          <w:marLeft w:val="0"/>
          <w:marRight w:val="0"/>
          <w:marTop w:val="0"/>
          <w:marBottom w:val="0"/>
          <w:divBdr>
            <w:top w:val="none" w:sz="0" w:space="0" w:color="auto"/>
            <w:left w:val="none" w:sz="0" w:space="0" w:color="auto"/>
            <w:bottom w:val="none" w:sz="0" w:space="0" w:color="auto"/>
            <w:right w:val="none" w:sz="0" w:space="0" w:color="auto"/>
          </w:divBdr>
        </w:div>
        <w:div w:id="79106120">
          <w:marLeft w:val="0"/>
          <w:marRight w:val="0"/>
          <w:marTop w:val="0"/>
          <w:marBottom w:val="0"/>
          <w:divBdr>
            <w:top w:val="none" w:sz="0" w:space="0" w:color="auto"/>
            <w:left w:val="none" w:sz="0" w:space="0" w:color="auto"/>
            <w:bottom w:val="none" w:sz="0" w:space="0" w:color="auto"/>
            <w:right w:val="none" w:sz="0" w:space="0" w:color="auto"/>
          </w:divBdr>
        </w:div>
      </w:divsChild>
    </w:div>
    <w:div w:id="925191899">
      <w:bodyDiv w:val="1"/>
      <w:marLeft w:val="0"/>
      <w:marRight w:val="0"/>
      <w:marTop w:val="0"/>
      <w:marBottom w:val="0"/>
      <w:divBdr>
        <w:top w:val="none" w:sz="0" w:space="0" w:color="auto"/>
        <w:left w:val="none" w:sz="0" w:space="0" w:color="auto"/>
        <w:bottom w:val="none" w:sz="0" w:space="0" w:color="auto"/>
        <w:right w:val="none" w:sz="0" w:space="0" w:color="auto"/>
      </w:divBdr>
      <w:divsChild>
        <w:div w:id="1459765500">
          <w:marLeft w:val="0"/>
          <w:marRight w:val="0"/>
          <w:marTop w:val="0"/>
          <w:marBottom w:val="0"/>
          <w:divBdr>
            <w:top w:val="none" w:sz="0" w:space="0" w:color="auto"/>
            <w:left w:val="none" w:sz="0" w:space="0" w:color="auto"/>
            <w:bottom w:val="none" w:sz="0" w:space="0" w:color="auto"/>
            <w:right w:val="none" w:sz="0" w:space="0" w:color="auto"/>
          </w:divBdr>
        </w:div>
        <w:div w:id="213272918">
          <w:marLeft w:val="0"/>
          <w:marRight w:val="0"/>
          <w:marTop w:val="0"/>
          <w:marBottom w:val="0"/>
          <w:divBdr>
            <w:top w:val="none" w:sz="0" w:space="0" w:color="auto"/>
            <w:left w:val="none" w:sz="0" w:space="0" w:color="auto"/>
            <w:bottom w:val="none" w:sz="0" w:space="0" w:color="auto"/>
            <w:right w:val="none" w:sz="0" w:space="0" w:color="auto"/>
          </w:divBdr>
        </w:div>
        <w:div w:id="2137020444">
          <w:marLeft w:val="0"/>
          <w:marRight w:val="0"/>
          <w:marTop w:val="0"/>
          <w:marBottom w:val="0"/>
          <w:divBdr>
            <w:top w:val="none" w:sz="0" w:space="0" w:color="auto"/>
            <w:left w:val="none" w:sz="0" w:space="0" w:color="auto"/>
            <w:bottom w:val="none" w:sz="0" w:space="0" w:color="auto"/>
            <w:right w:val="none" w:sz="0" w:space="0" w:color="auto"/>
          </w:divBdr>
        </w:div>
        <w:div w:id="1517426703">
          <w:marLeft w:val="0"/>
          <w:marRight w:val="0"/>
          <w:marTop w:val="0"/>
          <w:marBottom w:val="0"/>
          <w:divBdr>
            <w:top w:val="none" w:sz="0" w:space="0" w:color="auto"/>
            <w:left w:val="none" w:sz="0" w:space="0" w:color="auto"/>
            <w:bottom w:val="none" w:sz="0" w:space="0" w:color="auto"/>
            <w:right w:val="none" w:sz="0" w:space="0" w:color="auto"/>
          </w:divBdr>
        </w:div>
        <w:div w:id="226114399">
          <w:marLeft w:val="0"/>
          <w:marRight w:val="0"/>
          <w:marTop w:val="0"/>
          <w:marBottom w:val="0"/>
          <w:divBdr>
            <w:top w:val="none" w:sz="0" w:space="0" w:color="auto"/>
            <w:left w:val="none" w:sz="0" w:space="0" w:color="auto"/>
            <w:bottom w:val="none" w:sz="0" w:space="0" w:color="auto"/>
            <w:right w:val="none" w:sz="0" w:space="0" w:color="auto"/>
          </w:divBdr>
        </w:div>
      </w:divsChild>
    </w:div>
    <w:div w:id="1276792632">
      <w:bodyDiv w:val="1"/>
      <w:marLeft w:val="0"/>
      <w:marRight w:val="0"/>
      <w:marTop w:val="0"/>
      <w:marBottom w:val="0"/>
      <w:divBdr>
        <w:top w:val="none" w:sz="0" w:space="0" w:color="auto"/>
        <w:left w:val="none" w:sz="0" w:space="0" w:color="auto"/>
        <w:bottom w:val="none" w:sz="0" w:space="0" w:color="auto"/>
        <w:right w:val="none" w:sz="0" w:space="0" w:color="auto"/>
      </w:divBdr>
    </w:div>
    <w:div w:id="1470053971">
      <w:bodyDiv w:val="1"/>
      <w:marLeft w:val="0"/>
      <w:marRight w:val="0"/>
      <w:marTop w:val="0"/>
      <w:marBottom w:val="0"/>
      <w:divBdr>
        <w:top w:val="none" w:sz="0" w:space="0" w:color="auto"/>
        <w:left w:val="none" w:sz="0" w:space="0" w:color="auto"/>
        <w:bottom w:val="none" w:sz="0" w:space="0" w:color="auto"/>
        <w:right w:val="none" w:sz="0" w:space="0" w:color="auto"/>
      </w:divBdr>
      <w:divsChild>
        <w:div w:id="1806973050">
          <w:marLeft w:val="0"/>
          <w:marRight w:val="0"/>
          <w:marTop w:val="0"/>
          <w:marBottom w:val="0"/>
          <w:divBdr>
            <w:top w:val="none" w:sz="0" w:space="0" w:color="auto"/>
            <w:left w:val="none" w:sz="0" w:space="0" w:color="auto"/>
            <w:bottom w:val="none" w:sz="0" w:space="0" w:color="auto"/>
            <w:right w:val="none" w:sz="0" w:space="0" w:color="auto"/>
          </w:divBdr>
        </w:div>
        <w:div w:id="824903430">
          <w:marLeft w:val="0"/>
          <w:marRight w:val="0"/>
          <w:marTop w:val="0"/>
          <w:marBottom w:val="0"/>
          <w:divBdr>
            <w:top w:val="none" w:sz="0" w:space="0" w:color="auto"/>
            <w:left w:val="none" w:sz="0" w:space="0" w:color="auto"/>
            <w:bottom w:val="none" w:sz="0" w:space="0" w:color="auto"/>
            <w:right w:val="none" w:sz="0" w:space="0" w:color="auto"/>
          </w:divBdr>
        </w:div>
        <w:div w:id="1948653521">
          <w:marLeft w:val="0"/>
          <w:marRight w:val="0"/>
          <w:marTop w:val="0"/>
          <w:marBottom w:val="0"/>
          <w:divBdr>
            <w:top w:val="none" w:sz="0" w:space="0" w:color="auto"/>
            <w:left w:val="none" w:sz="0" w:space="0" w:color="auto"/>
            <w:bottom w:val="none" w:sz="0" w:space="0" w:color="auto"/>
            <w:right w:val="none" w:sz="0" w:space="0" w:color="auto"/>
          </w:divBdr>
        </w:div>
        <w:div w:id="1124613438">
          <w:marLeft w:val="0"/>
          <w:marRight w:val="0"/>
          <w:marTop w:val="0"/>
          <w:marBottom w:val="0"/>
          <w:divBdr>
            <w:top w:val="none" w:sz="0" w:space="0" w:color="auto"/>
            <w:left w:val="none" w:sz="0" w:space="0" w:color="auto"/>
            <w:bottom w:val="none" w:sz="0" w:space="0" w:color="auto"/>
            <w:right w:val="none" w:sz="0" w:space="0" w:color="auto"/>
          </w:divBdr>
        </w:div>
        <w:div w:id="6638506">
          <w:marLeft w:val="0"/>
          <w:marRight w:val="0"/>
          <w:marTop w:val="0"/>
          <w:marBottom w:val="0"/>
          <w:divBdr>
            <w:top w:val="none" w:sz="0" w:space="0" w:color="auto"/>
            <w:left w:val="none" w:sz="0" w:space="0" w:color="auto"/>
            <w:bottom w:val="none" w:sz="0" w:space="0" w:color="auto"/>
            <w:right w:val="none" w:sz="0" w:space="0" w:color="auto"/>
          </w:divBdr>
        </w:div>
      </w:divsChild>
    </w:div>
    <w:div w:id="1621836761">
      <w:bodyDiv w:val="1"/>
      <w:marLeft w:val="0"/>
      <w:marRight w:val="0"/>
      <w:marTop w:val="0"/>
      <w:marBottom w:val="0"/>
      <w:divBdr>
        <w:top w:val="none" w:sz="0" w:space="0" w:color="auto"/>
        <w:left w:val="none" w:sz="0" w:space="0" w:color="auto"/>
        <w:bottom w:val="none" w:sz="0" w:space="0" w:color="auto"/>
        <w:right w:val="none" w:sz="0" w:space="0" w:color="auto"/>
      </w:divBdr>
    </w:div>
    <w:div w:id="1622225037">
      <w:bodyDiv w:val="1"/>
      <w:marLeft w:val="0"/>
      <w:marRight w:val="0"/>
      <w:marTop w:val="0"/>
      <w:marBottom w:val="0"/>
      <w:divBdr>
        <w:top w:val="none" w:sz="0" w:space="0" w:color="auto"/>
        <w:left w:val="none" w:sz="0" w:space="0" w:color="auto"/>
        <w:bottom w:val="none" w:sz="0" w:space="0" w:color="auto"/>
        <w:right w:val="none" w:sz="0" w:space="0" w:color="auto"/>
      </w:divBdr>
      <w:divsChild>
        <w:div w:id="1252743230">
          <w:marLeft w:val="0"/>
          <w:marRight w:val="0"/>
          <w:marTop w:val="0"/>
          <w:marBottom w:val="0"/>
          <w:divBdr>
            <w:top w:val="none" w:sz="0" w:space="0" w:color="auto"/>
            <w:left w:val="none" w:sz="0" w:space="0" w:color="auto"/>
            <w:bottom w:val="none" w:sz="0" w:space="0" w:color="auto"/>
            <w:right w:val="none" w:sz="0" w:space="0" w:color="auto"/>
          </w:divBdr>
        </w:div>
        <w:div w:id="1773672583">
          <w:marLeft w:val="0"/>
          <w:marRight w:val="0"/>
          <w:marTop w:val="0"/>
          <w:marBottom w:val="0"/>
          <w:divBdr>
            <w:top w:val="none" w:sz="0" w:space="0" w:color="auto"/>
            <w:left w:val="none" w:sz="0" w:space="0" w:color="auto"/>
            <w:bottom w:val="none" w:sz="0" w:space="0" w:color="auto"/>
            <w:right w:val="none" w:sz="0" w:space="0" w:color="auto"/>
          </w:divBdr>
        </w:div>
        <w:div w:id="1891959809">
          <w:marLeft w:val="0"/>
          <w:marRight w:val="0"/>
          <w:marTop w:val="0"/>
          <w:marBottom w:val="0"/>
          <w:divBdr>
            <w:top w:val="none" w:sz="0" w:space="0" w:color="auto"/>
            <w:left w:val="none" w:sz="0" w:space="0" w:color="auto"/>
            <w:bottom w:val="none" w:sz="0" w:space="0" w:color="auto"/>
            <w:right w:val="none" w:sz="0" w:space="0" w:color="auto"/>
          </w:divBdr>
        </w:div>
        <w:div w:id="878590292">
          <w:marLeft w:val="0"/>
          <w:marRight w:val="0"/>
          <w:marTop w:val="0"/>
          <w:marBottom w:val="0"/>
          <w:divBdr>
            <w:top w:val="none" w:sz="0" w:space="0" w:color="auto"/>
            <w:left w:val="none" w:sz="0" w:space="0" w:color="auto"/>
            <w:bottom w:val="none" w:sz="0" w:space="0" w:color="auto"/>
            <w:right w:val="none" w:sz="0" w:space="0" w:color="auto"/>
          </w:divBdr>
        </w:div>
        <w:div w:id="1594702538">
          <w:marLeft w:val="0"/>
          <w:marRight w:val="0"/>
          <w:marTop w:val="0"/>
          <w:marBottom w:val="0"/>
          <w:divBdr>
            <w:top w:val="none" w:sz="0" w:space="0" w:color="auto"/>
            <w:left w:val="none" w:sz="0" w:space="0" w:color="auto"/>
            <w:bottom w:val="none" w:sz="0" w:space="0" w:color="auto"/>
            <w:right w:val="none" w:sz="0" w:space="0" w:color="auto"/>
          </w:divBdr>
        </w:div>
      </w:divsChild>
    </w:div>
    <w:div w:id="1623419052">
      <w:bodyDiv w:val="1"/>
      <w:marLeft w:val="0"/>
      <w:marRight w:val="0"/>
      <w:marTop w:val="0"/>
      <w:marBottom w:val="0"/>
      <w:divBdr>
        <w:top w:val="none" w:sz="0" w:space="0" w:color="auto"/>
        <w:left w:val="none" w:sz="0" w:space="0" w:color="auto"/>
        <w:bottom w:val="none" w:sz="0" w:space="0" w:color="auto"/>
        <w:right w:val="none" w:sz="0" w:space="0" w:color="auto"/>
      </w:divBdr>
      <w:divsChild>
        <w:div w:id="1823080914">
          <w:marLeft w:val="0"/>
          <w:marRight w:val="0"/>
          <w:marTop w:val="0"/>
          <w:marBottom w:val="0"/>
          <w:divBdr>
            <w:top w:val="none" w:sz="0" w:space="0" w:color="auto"/>
            <w:left w:val="none" w:sz="0" w:space="0" w:color="auto"/>
            <w:bottom w:val="none" w:sz="0" w:space="0" w:color="auto"/>
            <w:right w:val="none" w:sz="0" w:space="0" w:color="auto"/>
          </w:divBdr>
          <w:divsChild>
            <w:div w:id="1854295645">
              <w:marLeft w:val="0"/>
              <w:marRight w:val="0"/>
              <w:marTop w:val="0"/>
              <w:marBottom w:val="0"/>
              <w:divBdr>
                <w:top w:val="none" w:sz="0" w:space="0" w:color="auto"/>
                <w:left w:val="none" w:sz="0" w:space="0" w:color="auto"/>
                <w:bottom w:val="none" w:sz="0" w:space="0" w:color="auto"/>
                <w:right w:val="none" w:sz="0" w:space="0" w:color="auto"/>
              </w:divBdr>
              <w:divsChild>
                <w:div w:id="777482427">
                  <w:marLeft w:val="0"/>
                  <w:marRight w:val="0"/>
                  <w:marTop w:val="0"/>
                  <w:marBottom w:val="0"/>
                  <w:divBdr>
                    <w:top w:val="none" w:sz="0" w:space="0" w:color="auto"/>
                    <w:left w:val="none" w:sz="0" w:space="0" w:color="auto"/>
                    <w:bottom w:val="none" w:sz="0" w:space="0" w:color="auto"/>
                    <w:right w:val="none" w:sz="0" w:space="0" w:color="auto"/>
                  </w:divBdr>
                  <w:divsChild>
                    <w:div w:id="292560526">
                      <w:marLeft w:val="0"/>
                      <w:marRight w:val="0"/>
                      <w:marTop w:val="0"/>
                      <w:marBottom w:val="0"/>
                      <w:divBdr>
                        <w:top w:val="single" w:sz="6" w:space="0" w:color="D4D4D4"/>
                        <w:left w:val="single" w:sz="6" w:space="0" w:color="D4D4D4"/>
                        <w:bottom w:val="single" w:sz="6" w:space="0" w:color="D4D4D4"/>
                        <w:right w:val="single" w:sz="6" w:space="0" w:color="D4D4D4"/>
                      </w:divBdr>
                      <w:divsChild>
                        <w:div w:id="1844516132">
                          <w:marLeft w:val="0"/>
                          <w:marRight w:val="0"/>
                          <w:marTop w:val="0"/>
                          <w:marBottom w:val="0"/>
                          <w:divBdr>
                            <w:top w:val="single" w:sz="6" w:space="8" w:color="FFFFFF"/>
                            <w:left w:val="single" w:sz="6" w:space="8" w:color="FFFFFF"/>
                            <w:bottom w:val="single" w:sz="6" w:space="8" w:color="FFFFFF"/>
                            <w:right w:val="single" w:sz="6" w:space="8" w:color="FFFFFF"/>
                          </w:divBdr>
                          <w:divsChild>
                            <w:div w:id="1595897140">
                              <w:marLeft w:val="0"/>
                              <w:marRight w:val="0"/>
                              <w:marTop w:val="0"/>
                              <w:marBottom w:val="0"/>
                              <w:divBdr>
                                <w:top w:val="none" w:sz="0" w:space="0" w:color="auto"/>
                                <w:left w:val="none" w:sz="0" w:space="0" w:color="auto"/>
                                <w:bottom w:val="none" w:sz="0" w:space="0" w:color="auto"/>
                                <w:right w:val="none" w:sz="0" w:space="0" w:color="auto"/>
                              </w:divBdr>
                              <w:divsChild>
                                <w:div w:id="11509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011000">
      <w:bodyDiv w:val="1"/>
      <w:marLeft w:val="0"/>
      <w:marRight w:val="0"/>
      <w:marTop w:val="0"/>
      <w:marBottom w:val="0"/>
      <w:divBdr>
        <w:top w:val="none" w:sz="0" w:space="0" w:color="auto"/>
        <w:left w:val="none" w:sz="0" w:space="0" w:color="auto"/>
        <w:bottom w:val="none" w:sz="0" w:space="0" w:color="auto"/>
        <w:right w:val="none" w:sz="0" w:space="0" w:color="auto"/>
      </w:divBdr>
    </w:div>
    <w:div w:id="170524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accountants.org.au/whitepape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cki.stylianou@publicaccountants.org.a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www.avcal.com.au/documents/item/11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F34FB163ABCE47A29E3253669CD8B1" ma:contentTypeVersion="0" ma:contentTypeDescription="Create a new document." ma:contentTypeScope="" ma:versionID="ce56d01a56b49f81565c9c0b73f4f46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BA3465-EDA2-4BFA-AA4A-9C212C93FEBF}">
  <ds:schemaRefs>
    <ds:schemaRef ds:uri="http://schemas.microsoft.com/sharepoint/v3/contenttype/forms"/>
  </ds:schemaRefs>
</ds:datastoreItem>
</file>

<file path=customXml/itemProps2.xml><?xml version="1.0" encoding="utf-8"?>
<ds:datastoreItem xmlns:ds="http://schemas.openxmlformats.org/officeDocument/2006/customXml" ds:itemID="{E7B7523C-E731-4072-A7DF-A39E0242B5D1}">
  <ds:schemaRefs>
    <ds:schemaRef ds:uri="http://purl.org/dc/elements/1.1/"/>
    <ds:schemaRef ds:uri="http://schemas.microsoft.com/office/2006/metadata/properties"/>
    <ds:schemaRef ds:uri="http://schemas.openxmlformats.org/package/2006/metadata/core-properties"/>
    <ds:schemaRef ds:uri="http://purl.org/dc/terms/"/>
    <ds:schemaRef ds:uri="http://www.w3.org/XML/1998/namespace"/>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BDFA33FE-D1F2-4D4C-8220-AD530C8DF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29DFCF0-E553-4A14-A131-F914BD7AA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12</Pages>
  <Words>2203</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IPA</Company>
  <LinksUpToDate>false</LinksUpToDate>
  <CharactersWithSpaces>14737</CharactersWithSpaces>
  <SharedDoc>false</SharedDoc>
  <HLinks>
    <vt:vector size="480" baseType="variant">
      <vt:variant>
        <vt:i4>4915245</vt:i4>
      </vt:variant>
      <vt:variant>
        <vt:i4>396</vt:i4>
      </vt:variant>
      <vt:variant>
        <vt:i4>0</vt:i4>
      </vt:variant>
      <vt:variant>
        <vt:i4>5</vt:i4>
      </vt:variant>
      <vt:variant>
        <vt:lpwstr>mailto:headoffice@publicaccountants.org.au</vt:lpwstr>
      </vt:variant>
      <vt:variant>
        <vt:lpwstr/>
      </vt:variant>
      <vt:variant>
        <vt:i4>5963857</vt:i4>
      </vt:variant>
      <vt:variant>
        <vt:i4>393</vt:i4>
      </vt:variant>
      <vt:variant>
        <vt:i4>0</vt:i4>
      </vt:variant>
      <vt:variant>
        <vt:i4>5</vt:i4>
      </vt:variant>
      <vt:variant>
        <vt:lpwstr/>
      </vt:variant>
      <vt:variant>
        <vt:lpwstr>BM36</vt:lpwstr>
      </vt:variant>
      <vt:variant>
        <vt:i4>5767249</vt:i4>
      </vt:variant>
      <vt:variant>
        <vt:i4>390</vt:i4>
      </vt:variant>
      <vt:variant>
        <vt:i4>0</vt:i4>
      </vt:variant>
      <vt:variant>
        <vt:i4>5</vt:i4>
      </vt:variant>
      <vt:variant>
        <vt:lpwstr/>
      </vt:variant>
      <vt:variant>
        <vt:lpwstr>BM35</vt:lpwstr>
      </vt:variant>
      <vt:variant>
        <vt:i4>5832785</vt:i4>
      </vt:variant>
      <vt:variant>
        <vt:i4>387</vt:i4>
      </vt:variant>
      <vt:variant>
        <vt:i4>0</vt:i4>
      </vt:variant>
      <vt:variant>
        <vt:i4>5</vt:i4>
      </vt:variant>
      <vt:variant>
        <vt:lpwstr/>
      </vt:variant>
      <vt:variant>
        <vt:lpwstr>BM34</vt:lpwstr>
      </vt:variant>
      <vt:variant>
        <vt:i4>6160465</vt:i4>
      </vt:variant>
      <vt:variant>
        <vt:i4>384</vt:i4>
      </vt:variant>
      <vt:variant>
        <vt:i4>0</vt:i4>
      </vt:variant>
      <vt:variant>
        <vt:i4>5</vt:i4>
      </vt:variant>
      <vt:variant>
        <vt:lpwstr/>
      </vt:variant>
      <vt:variant>
        <vt:lpwstr>BM33</vt:lpwstr>
      </vt:variant>
      <vt:variant>
        <vt:i4>6226001</vt:i4>
      </vt:variant>
      <vt:variant>
        <vt:i4>381</vt:i4>
      </vt:variant>
      <vt:variant>
        <vt:i4>0</vt:i4>
      </vt:variant>
      <vt:variant>
        <vt:i4>5</vt:i4>
      </vt:variant>
      <vt:variant>
        <vt:lpwstr/>
      </vt:variant>
      <vt:variant>
        <vt:lpwstr>BM32</vt:lpwstr>
      </vt:variant>
      <vt:variant>
        <vt:i4>6029393</vt:i4>
      </vt:variant>
      <vt:variant>
        <vt:i4>378</vt:i4>
      </vt:variant>
      <vt:variant>
        <vt:i4>0</vt:i4>
      </vt:variant>
      <vt:variant>
        <vt:i4>5</vt:i4>
      </vt:variant>
      <vt:variant>
        <vt:lpwstr/>
      </vt:variant>
      <vt:variant>
        <vt:lpwstr>BM31</vt:lpwstr>
      </vt:variant>
      <vt:variant>
        <vt:i4>6094929</vt:i4>
      </vt:variant>
      <vt:variant>
        <vt:i4>375</vt:i4>
      </vt:variant>
      <vt:variant>
        <vt:i4>0</vt:i4>
      </vt:variant>
      <vt:variant>
        <vt:i4>5</vt:i4>
      </vt:variant>
      <vt:variant>
        <vt:lpwstr/>
      </vt:variant>
      <vt:variant>
        <vt:lpwstr>BM30</vt:lpwstr>
      </vt:variant>
      <vt:variant>
        <vt:i4>5505104</vt:i4>
      </vt:variant>
      <vt:variant>
        <vt:i4>372</vt:i4>
      </vt:variant>
      <vt:variant>
        <vt:i4>0</vt:i4>
      </vt:variant>
      <vt:variant>
        <vt:i4>5</vt:i4>
      </vt:variant>
      <vt:variant>
        <vt:lpwstr/>
      </vt:variant>
      <vt:variant>
        <vt:lpwstr>BM29</vt:lpwstr>
      </vt:variant>
      <vt:variant>
        <vt:i4>5570640</vt:i4>
      </vt:variant>
      <vt:variant>
        <vt:i4>369</vt:i4>
      </vt:variant>
      <vt:variant>
        <vt:i4>0</vt:i4>
      </vt:variant>
      <vt:variant>
        <vt:i4>5</vt:i4>
      </vt:variant>
      <vt:variant>
        <vt:lpwstr/>
      </vt:variant>
      <vt:variant>
        <vt:lpwstr>BM28</vt:lpwstr>
      </vt:variant>
      <vt:variant>
        <vt:i4>5898320</vt:i4>
      </vt:variant>
      <vt:variant>
        <vt:i4>366</vt:i4>
      </vt:variant>
      <vt:variant>
        <vt:i4>0</vt:i4>
      </vt:variant>
      <vt:variant>
        <vt:i4>5</vt:i4>
      </vt:variant>
      <vt:variant>
        <vt:lpwstr/>
      </vt:variant>
      <vt:variant>
        <vt:lpwstr>BM27</vt:lpwstr>
      </vt:variant>
      <vt:variant>
        <vt:i4>5963856</vt:i4>
      </vt:variant>
      <vt:variant>
        <vt:i4>363</vt:i4>
      </vt:variant>
      <vt:variant>
        <vt:i4>0</vt:i4>
      </vt:variant>
      <vt:variant>
        <vt:i4>5</vt:i4>
      </vt:variant>
      <vt:variant>
        <vt:lpwstr/>
      </vt:variant>
      <vt:variant>
        <vt:lpwstr>BM26</vt:lpwstr>
      </vt:variant>
      <vt:variant>
        <vt:i4>5767248</vt:i4>
      </vt:variant>
      <vt:variant>
        <vt:i4>360</vt:i4>
      </vt:variant>
      <vt:variant>
        <vt:i4>0</vt:i4>
      </vt:variant>
      <vt:variant>
        <vt:i4>5</vt:i4>
      </vt:variant>
      <vt:variant>
        <vt:lpwstr/>
      </vt:variant>
      <vt:variant>
        <vt:lpwstr>BM25</vt:lpwstr>
      </vt:variant>
      <vt:variant>
        <vt:i4>5832784</vt:i4>
      </vt:variant>
      <vt:variant>
        <vt:i4>357</vt:i4>
      </vt:variant>
      <vt:variant>
        <vt:i4>0</vt:i4>
      </vt:variant>
      <vt:variant>
        <vt:i4>5</vt:i4>
      </vt:variant>
      <vt:variant>
        <vt:lpwstr/>
      </vt:variant>
      <vt:variant>
        <vt:lpwstr>BM24</vt:lpwstr>
      </vt:variant>
      <vt:variant>
        <vt:i4>6160464</vt:i4>
      </vt:variant>
      <vt:variant>
        <vt:i4>354</vt:i4>
      </vt:variant>
      <vt:variant>
        <vt:i4>0</vt:i4>
      </vt:variant>
      <vt:variant>
        <vt:i4>5</vt:i4>
      </vt:variant>
      <vt:variant>
        <vt:lpwstr/>
      </vt:variant>
      <vt:variant>
        <vt:lpwstr>BM23</vt:lpwstr>
      </vt:variant>
      <vt:variant>
        <vt:i4>6226000</vt:i4>
      </vt:variant>
      <vt:variant>
        <vt:i4>351</vt:i4>
      </vt:variant>
      <vt:variant>
        <vt:i4>0</vt:i4>
      </vt:variant>
      <vt:variant>
        <vt:i4>5</vt:i4>
      </vt:variant>
      <vt:variant>
        <vt:lpwstr/>
      </vt:variant>
      <vt:variant>
        <vt:lpwstr>BM22</vt:lpwstr>
      </vt:variant>
      <vt:variant>
        <vt:i4>6029392</vt:i4>
      </vt:variant>
      <vt:variant>
        <vt:i4>348</vt:i4>
      </vt:variant>
      <vt:variant>
        <vt:i4>0</vt:i4>
      </vt:variant>
      <vt:variant>
        <vt:i4>5</vt:i4>
      </vt:variant>
      <vt:variant>
        <vt:lpwstr/>
      </vt:variant>
      <vt:variant>
        <vt:lpwstr>BM21</vt:lpwstr>
      </vt:variant>
      <vt:variant>
        <vt:i4>6094928</vt:i4>
      </vt:variant>
      <vt:variant>
        <vt:i4>345</vt:i4>
      </vt:variant>
      <vt:variant>
        <vt:i4>0</vt:i4>
      </vt:variant>
      <vt:variant>
        <vt:i4>5</vt:i4>
      </vt:variant>
      <vt:variant>
        <vt:lpwstr/>
      </vt:variant>
      <vt:variant>
        <vt:lpwstr>BM20</vt:lpwstr>
      </vt:variant>
      <vt:variant>
        <vt:i4>5505107</vt:i4>
      </vt:variant>
      <vt:variant>
        <vt:i4>342</vt:i4>
      </vt:variant>
      <vt:variant>
        <vt:i4>0</vt:i4>
      </vt:variant>
      <vt:variant>
        <vt:i4>5</vt:i4>
      </vt:variant>
      <vt:variant>
        <vt:lpwstr/>
      </vt:variant>
      <vt:variant>
        <vt:lpwstr>BM19</vt:lpwstr>
      </vt:variant>
      <vt:variant>
        <vt:i4>5570643</vt:i4>
      </vt:variant>
      <vt:variant>
        <vt:i4>339</vt:i4>
      </vt:variant>
      <vt:variant>
        <vt:i4>0</vt:i4>
      </vt:variant>
      <vt:variant>
        <vt:i4>5</vt:i4>
      </vt:variant>
      <vt:variant>
        <vt:lpwstr/>
      </vt:variant>
      <vt:variant>
        <vt:lpwstr>BM18</vt:lpwstr>
      </vt:variant>
      <vt:variant>
        <vt:i4>5898323</vt:i4>
      </vt:variant>
      <vt:variant>
        <vt:i4>336</vt:i4>
      </vt:variant>
      <vt:variant>
        <vt:i4>0</vt:i4>
      </vt:variant>
      <vt:variant>
        <vt:i4>5</vt:i4>
      </vt:variant>
      <vt:variant>
        <vt:lpwstr/>
      </vt:variant>
      <vt:variant>
        <vt:lpwstr>BM174</vt:lpwstr>
      </vt:variant>
      <vt:variant>
        <vt:i4>5963859</vt:i4>
      </vt:variant>
      <vt:variant>
        <vt:i4>333</vt:i4>
      </vt:variant>
      <vt:variant>
        <vt:i4>0</vt:i4>
      </vt:variant>
      <vt:variant>
        <vt:i4>5</vt:i4>
      </vt:variant>
      <vt:variant>
        <vt:lpwstr/>
      </vt:variant>
      <vt:variant>
        <vt:lpwstr>BM16</vt:lpwstr>
      </vt:variant>
      <vt:variant>
        <vt:i4>5767251</vt:i4>
      </vt:variant>
      <vt:variant>
        <vt:i4>330</vt:i4>
      </vt:variant>
      <vt:variant>
        <vt:i4>0</vt:i4>
      </vt:variant>
      <vt:variant>
        <vt:i4>5</vt:i4>
      </vt:variant>
      <vt:variant>
        <vt:lpwstr/>
      </vt:variant>
      <vt:variant>
        <vt:lpwstr>BM15</vt:lpwstr>
      </vt:variant>
      <vt:variant>
        <vt:i4>5832787</vt:i4>
      </vt:variant>
      <vt:variant>
        <vt:i4>327</vt:i4>
      </vt:variant>
      <vt:variant>
        <vt:i4>0</vt:i4>
      </vt:variant>
      <vt:variant>
        <vt:i4>5</vt:i4>
      </vt:variant>
      <vt:variant>
        <vt:lpwstr/>
      </vt:variant>
      <vt:variant>
        <vt:lpwstr>BM14</vt:lpwstr>
      </vt:variant>
      <vt:variant>
        <vt:i4>6160467</vt:i4>
      </vt:variant>
      <vt:variant>
        <vt:i4>324</vt:i4>
      </vt:variant>
      <vt:variant>
        <vt:i4>0</vt:i4>
      </vt:variant>
      <vt:variant>
        <vt:i4>5</vt:i4>
      </vt:variant>
      <vt:variant>
        <vt:lpwstr/>
      </vt:variant>
      <vt:variant>
        <vt:lpwstr>BM13</vt:lpwstr>
      </vt:variant>
      <vt:variant>
        <vt:i4>6226003</vt:i4>
      </vt:variant>
      <vt:variant>
        <vt:i4>321</vt:i4>
      </vt:variant>
      <vt:variant>
        <vt:i4>0</vt:i4>
      </vt:variant>
      <vt:variant>
        <vt:i4>5</vt:i4>
      </vt:variant>
      <vt:variant>
        <vt:lpwstr/>
      </vt:variant>
      <vt:variant>
        <vt:lpwstr>BM12</vt:lpwstr>
      </vt:variant>
      <vt:variant>
        <vt:i4>6029395</vt:i4>
      </vt:variant>
      <vt:variant>
        <vt:i4>318</vt:i4>
      </vt:variant>
      <vt:variant>
        <vt:i4>0</vt:i4>
      </vt:variant>
      <vt:variant>
        <vt:i4>5</vt:i4>
      </vt:variant>
      <vt:variant>
        <vt:lpwstr/>
      </vt:variant>
      <vt:variant>
        <vt:lpwstr>BM11</vt:lpwstr>
      </vt:variant>
      <vt:variant>
        <vt:i4>1900607</vt:i4>
      </vt:variant>
      <vt:variant>
        <vt:i4>311</vt:i4>
      </vt:variant>
      <vt:variant>
        <vt:i4>0</vt:i4>
      </vt:variant>
      <vt:variant>
        <vt:i4>5</vt:i4>
      </vt:variant>
      <vt:variant>
        <vt:lpwstr/>
      </vt:variant>
      <vt:variant>
        <vt:lpwstr>_Toc378239761</vt:lpwstr>
      </vt:variant>
      <vt:variant>
        <vt:i4>1900607</vt:i4>
      </vt:variant>
      <vt:variant>
        <vt:i4>305</vt:i4>
      </vt:variant>
      <vt:variant>
        <vt:i4>0</vt:i4>
      </vt:variant>
      <vt:variant>
        <vt:i4>5</vt:i4>
      </vt:variant>
      <vt:variant>
        <vt:lpwstr/>
      </vt:variant>
      <vt:variant>
        <vt:lpwstr>_Toc378239760</vt:lpwstr>
      </vt:variant>
      <vt:variant>
        <vt:i4>1966143</vt:i4>
      </vt:variant>
      <vt:variant>
        <vt:i4>299</vt:i4>
      </vt:variant>
      <vt:variant>
        <vt:i4>0</vt:i4>
      </vt:variant>
      <vt:variant>
        <vt:i4>5</vt:i4>
      </vt:variant>
      <vt:variant>
        <vt:lpwstr/>
      </vt:variant>
      <vt:variant>
        <vt:lpwstr>_Toc378239759</vt:lpwstr>
      </vt:variant>
      <vt:variant>
        <vt:i4>1966143</vt:i4>
      </vt:variant>
      <vt:variant>
        <vt:i4>293</vt:i4>
      </vt:variant>
      <vt:variant>
        <vt:i4>0</vt:i4>
      </vt:variant>
      <vt:variant>
        <vt:i4>5</vt:i4>
      </vt:variant>
      <vt:variant>
        <vt:lpwstr/>
      </vt:variant>
      <vt:variant>
        <vt:lpwstr>_Toc378239758</vt:lpwstr>
      </vt:variant>
      <vt:variant>
        <vt:i4>1966143</vt:i4>
      </vt:variant>
      <vt:variant>
        <vt:i4>287</vt:i4>
      </vt:variant>
      <vt:variant>
        <vt:i4>0</vt:i4>
      </vt:variant>
      <vt:variant>
        <vt:i4>5</vt:i4>
      </vt:variant>
      <vt:variant>
        <vt:lpwstr/>
      </vt:variant>
      <vt:variant>
        <vt:lpwstr>_Toc378239757</vt:lpwstr>
      </vt:variant>
      <vt:variant>
        <vt:i4>1966143</vt:i4>
      </vt:variant>
      <vt:variant>
        <vt:i4>281</vt:i4>
      </vt:variant>
      <vt:variant>
        <vt:i4>0</vt:i4>
      </vt:variant>
      <vt:variant>
        <vt:i4>5</vt:i4>
      </vt:variant>
      <vt:variant>
        <vt:lpwstr/>
      </vt:variant>
      <vt:variant>
        <vt:lpwstr>_Toc378239756</vt:lpwstr>
      </vt:variant>
      <vt:variant>
        <vt:i4>1966143</vt:i4>
      </vt:variant>
      <vt:variant>
        <vt:i4>275</vt:i4>
      </vt:variant>
      <vt:variant>
        <vt:i4>0</vt:i4>
      </vt:variant>
      <vt:variant>
        <vt:i4>5</vt:i4>
      </vt:variant>
      <vt:variant>
        <vt:lpwstr/>
      </vt:variant>
      <vt:variant>
        <vt:lpwstr>_Toc378239755</vt:lpwstr>
      </vt:variant>
      <vt:variant>
        <vt:i4>1966143</vt:i4>
      </vt:variant>
      <vt:variant>
        <vt:i4>269</vt:i4>
      </vt:variant>
      <vt:variant>
        <vt:i4>0</vt:i4>
      </vt:variant>
      <vt:variant>
        <vt:i4>5</vt:i4>
      </vt:variant>
      <vt:variant>
        <vt:lpwstr/>
      </vt:variant>
      <vt:variant>
        <vt:lpwstr>_Toc378239754</vt:lpwstr>
      </vt:variant>
      <vt:variant>
        <vt:i4>1966143</vt:i4>
      </vt:variant>
      <vt:variant>
        <vt:i4>263</vt:i4>
      </vt:variant>
      <vt:variant>
        <vt:i4>0</vt:i4>
      </vt:variant>
      <vt:variant>
        <vt:i4>5</vt:i4>
      </vt:variant>
      <vt:variant>
        <vt:lpwstr/>
      </vt:variant>
      <vt:variant>
        <vt:lpwstr>_Toc378239753</vt:lpwstr>
      </vt:variant>
      <vt:variant>
        <vt:i4>1966143</vt:i4>
      </vt:variant>
      <vt:variant>
        <vt:i4>257</vt:i4>
      </vt:variant>
      <vt:variant>
        <vt:i4>0</vt:i4>
      </vt:variant>
      <vt:variant>
        <vt:i4>5</vt:i4>
      </vt:variant>
      <vt:variant>
        <vt:lpwstr/>
      </vt:variant>
      <vt:variant>
        <vt:lpwstr>_Toc378239752</vt:lpwstr>
      </vt:variant>
      <vt:variant>
        <vt:i4>1966143</vt:i4>
      </vt:variant>
      <vt:variant>
        <vt:i4>251</vt:i4>
      </vt:variant>
      <vt:variant>
        <vt:i4>0</vt:i4>
      </vt:variant>
      <vt:variant>
        <vt:i4>5</vt:i4>
      </vt:variant>
      <vt:variant>
        <vt:lpwstr/>
      </vt:variant>
      <vt:variant>
        <vt:lpwstr>_Toc378239751</vt:lpwstr>
      </vt:variant>
      <vt:variant>
        <vt:i4>1966143</vt:i4>
      </vt:variant>
      <vt:variant>
        <vt:i4>245</vt:i4>
      </vt:variant>
      <vt:variant>
        <vt:i4>0</vt:i4>
      </vt:variant>
      <vt:variant>
        <vt:i4>5</vt:i4>
      </vt:variant>
      <vt:variant>
        <vt:lpwstr/>
      </vt:variant>
      <vt:variant>
        <vt:lpwstr>_Toc378239750</vt:lpwstr>
      </vt:variant>
      <vt:variant>
        <vt:i4>2031679</vt:i4>
      </vt:variant>
      <vt:variant>
        <vt:i4>239</vt:i4>
      </vt:variant>
      <vt:variant>
        <vt:i4>0</vt:i4>
      </vt:variant>
      <vt:variant>
        <vt:i4>5</vt:i4>
      </vt:variant>
      <vt:variant>
        <vt:lpwstr/>
      </vt:variant>
      <vt:variant>
        <vt:lpwstr>_Toc378239749</vt:lpwstr>
      </vt:variant>
      <vt:variant>
        <vt:i4>2031679</vt:i4>
      </vt:variant>
      <vt:variant>
        <vt:i4>233</vt:i4>
      </vt:variant>
      <vt:variant>
        <vt:i4>0</vt:i4>
      </vt:variant>
      <vt:variant>
        <vt:i4>5</vt:i4>
      </vt:variant>
      <vt:variant>
        <vt:lpwstr/>
      </vt:variant>
      <vt:variant>
        <vt:lpwstr>_Toc378239748</vt:lpwstr>
      </vt:variant>
      <vt:variant>
        <vt:i4>2031679</vt:i4>
      </vt:variant>
      <vt:variant>
        <vt:i4>227</vt:i4>
      </vt:variant>
      <vt:variant>
        <vt:i4>0</vt:i4>
      </vt:variant>
      <vt:variant>
        <vt:i4>5</vt:i4>
      </vt:variant>
      <vt:variant>
        <vt:lpwstr/>
      </vt:variant>
      <vt:variant>
        <vt:lpwstr>_Toc378239747</vt:lpwstr>
      </vt:variant>
      <vt:variant>
        <vt:i4>2031679</vt:i4>
      </vt:variant>
      <vt:variant>
        <vt:i4>221</vt:i4>
      </vt:variant>
      <vt:variant>
        <vt:i4>0</vt:i4>
      </vt:variant>
      <vt:variant>
        <vt:i4>5</vt:i4>
      </vt:variant>
      <vt:variant>
        <vt:lpwstr/>
      </vt:variant>
      <vt:variant>
        <vt:lpwstr>_Toc378239746</vt:lpwstr>
      </vt:variant>
      <vt:variant>
        <vt:i4>2031679</vt:i4>
      </vt:variant>
      <vt:variant>
        <vt:i4>215</vt:i4>
      </vt:variant>
      <vt:variant>
        <vt:i4>0</vt:i4>
      </vt:variant>
      <vt:variant>
        <vt:i4>5</vt:i4>
      </vt:variant>
      <vt:variant>
        <vt:lpwstr/>
      </vt:variant>
      <vt:variant>
        <vt:lpwstr>_Toc378239745</vt:lpwstr>
      </vt:variant>
      <vt:variant>
        <vt:i4>2031679</vt:i4>
      </vt:variant>
      <vt:variant>
        <vt:i4>209</vt:i4>
      </vt:variant>
      <vt:variant>
        <vt:i4>0</vt:i4>
      </vt:variant>
      <vt:variant>
        <vt:i4>5</vt:i4>
      </vt:variant>
      <vt:variant>
        <vt:lpwstr/>
      </vt:variant>
      <vt:variant>
        <vt:lpwstr>_Toc378239744</vt:lpwstr>
      </vt:variant>
      <vt:variant>
        <vt:i4>2031679</vt:i4>
      </vt:variant>
      <vt:variant>
        <vt:i4>203</vt:i4>
      </vt:variant>
      <vt:variant>
        <vt:i4>0</vt:i4>
      </vt:variant>
      <vt:variant>
        <vt:i4>5</vt:i4>
      </vt:variant>
      <vt:variant>
        <vt:lpwstr/>
      </vt:variant>
      <vt:variant>
        <vt:lpwstr>_Toc378239743</vt:lpwstr>
      </vt:variant>
      <vt:variant>
        <vt:i4>2031679</vt:i4>
      </vt:variant>
      <vt:variant>
        <vt:i4>197</vt:i4>
      </vt:variant>
      <vt:variant>
        <vt:i4>0</vt:i4>
      </vt:variant>
      <vt:variant>
        <vt:i4>5</vt:i4>
      </vt:variant>
      <vt:variant>
        <vt:lpwstr/>
      </vt:variant>
      <vt:variant>
        <vt:lpwstr>_Toc378239742</vt:lpwstr>
      </vt:variant>
      <vt:variant>
        <vt:i4>2031679</vt:i4>
      </vt:variant>
      <vt:variant>
        <vt:i4>191</vt:i4>
      </vt:variant>
      <vt:variant>
        <vt:i4>0</vt:i4>
      </vt:variant>
      <vt:variant>
        <vt:i4>5</vt:i4>
      </vt:variant>
      <vt:variant>
        <vt:lpwstr/>
      </vt:variant>
      <vt:variant>
        <vt:lpwstr>_Toc378239741</vt:lpwstr>
      </vt:variant>
      <vt:variant>
        <vt:i4>2031679</vt:i4>
      </vt:variant>
      <vt:variant>
        <vt:i4>185</vt:i4>
      </vt:variant>
      <vt:variant>
        <vt:i4>0</vt:i4>
      </vt:variant>
      <vt:variant>
        <vt:i4>5</vt:i4>
      </vt:variant>
      <vt:variant>
        <vt:lpwstr/>
      </vt:variant>
      <vt:variant>
        <vt:lpwstr>_Toc378239740</vt:lpwstr>
      </vt:variant>
      <vt:variant>
        <vt:i4>1572927</vt:i4>
      </vt:variant>
      <vt:variant>
        <vt:i4>179</vt:i4>
      </vt:variant>
      <vt:variant>
        <vt:i4>0</vt:i4>
      </vt:variant>
      <vt:variant>
        <vt:i4>5</vt:i4>
      </vt:variant>
      <vt:variant>
        <vt:lpwstr/>
      </vt:variant>
      <vt:variant>
        <vt:lpwstr>_Toc378239739</vt:lpwstr>
      </vt:variant>
      <vt:variant>
        <vt:i4>1572927</vt:i4>
      </vt:variant>
      <vt:variant>
        <vt:i4>173</vt:i4>
      </vt:variant>
      <vt:variant>
        <vt:i4>0</vt:i4>
      </vt:variant>
      <vt:variant>
        <vt:i4>5</vt:i4>
      </vt:variant>
      <vt:variant>
        <vt:lpwstr/>
      </vt:variant>
      <vt:variant>
        <vt:lpwstr>_Toc378239738</vt:lpwstr>
      </vt:variant>
      <vt:variant>
        <vt:i4>1572927</vt:i4>
      </vt:variant>
      <vt:variant>
        <vt:i4>167</vt:i4>
      </vt:variant>
      <vt:variant>
        <vt:i4>0</vt:i4>
      </vt:variant>
      <vt:variant>
        <vt:i4>5</vt:i4>
      </vt:variant>
      <vt:variant>
        <vt:lpwstr/>
      </vt:variant>
      <vt:variant>
        <vt:lpwstr>_Toc378239737</vt:lpwstr>
      </vt:variant>
      <vt:variant>
        <vt:i4>1572927</vt:i4>
      </vt:variant>
      <vt:variant>
        <vt:i4>161</vt:i4>
      </vt:variant>
      <vt:variant>
        <vt:i4>0</vt:i4>
      </vt:variant>
      <vt:variant>
        <vt:i4>5</vt:i4>
      </vt:variant>
      <vt:variant>
        <vt:lpwstr/>
      </vt:variant>
      <vt:variant>
        <vt:lpwstr>_Toc378239736</vt:lpwstr>
      </vt:variant>
      <vt:variant>
        <vt:i4>1572927</vt:i4>
      </vt:variant>
      <vt:variant>
        <vt:i4>155</vt:i4>
      </vt:variant>
      <vt:variant>
        <vt:i4>0</vt:i4>
      </vt:variant>
      <vt:variant>
        <vt:i4>5</vt:i4>
      </vt:variant>
      <vt:variant>
        <vt:lpwstr/>
      </vt:variant>
      <vt:variant>
        <vt:lpwstr>_Toc378239735</vt:lpwstr>
      </vt:variant>
      <vt:variant>
        <vt:i4>1572927</vt:i4>
      </vt:variant>
      <vt:variant>
        <vt:i4>149</vt:i4>
      </vt:variant>
      <vt:variant>
        <vt:i4>0</vt:i4>
      </vt:variant>
      <vt:variant>
        <vt:i4>5</vt:i4>
      </vt:variant>
      <vt:variant>
        <vt:lpwstr/>
      </vt:variant>
      <vt:variant>
        <vt:lpwstr>_Toc378239734</vt:lpwstr>
      </vt:variant>
      <vt:variant>
        <vt:i4>1572927</vt:i4>
      </vt:variant>
      <vt:variant>
        <vt:i4>143</vt:i4>
      </vt:variant>
      <vt:variant>
        <vt:i4>0</vt:i4>
      </vt:variant>
      <vt:variant>
        <vt:i4>5</vt:i4>
      </vt:variant>
      <vt:variant>
        <vt:lpwstr/>
      </vt:variant>
      <vt:variant>
        <vt:lpwstr>_Toc378239733</vt:lpwstr>
      </vt:variant>
      <vt:variant>
        <vt:i4>1572927</vt:i4>
      </vt:variant>
      <vt:variant>
        <vt:i4>137</vt:i4>
      </vt:variant>
      <vt:variant>
        <vt:i4>0</vt:i4>
      </vt:variant>
      <vt:variant>
        <vt:i4>5</vt:i4>
      </vt:variant>
      <vt:variant>
        <vt:lpwstr/>
      </vt:variant>
      <vt:variant>
        <vt:lpwstr>_Toc378239732</vt:lpwstr>
      </vt:variant>
      <vt:variant>
        <vt:i4>1572927</vt:i4>
      </vt:variant>
      <vt:variant>
        <vt:i4>131</vt:i4>
      </vt:variant>
      <vt:variant>
        <vt:i4>0</vt:i4>
      </vt:variant>
      <vt:variant>
        <vt:i4>5</vt:i4>
      </vt:variant>
      <vt:variant>
        <vt:lpwstr/>
      </vt:variant>
      <vt:variant>
        <vt:lpwstr>_Toc378239731</vt:lpwstr>
      </vt:variant>
      <vt:variant>
        <vt:i4>1572927</vt:i4>
      </vt:variant>
      <vt:variant>
        <vt:i4>125</vt:i4>
      </vt:variant>
      <vt:variant>
        <vt:i4>0</vt:i4>
      </vt:variant>
      <vt:variant>
        <vt:i4>5</vt:i4>
      </vt:variant>
      <vt:variant>
        <vt:lpwstr/>
      </vt:variant>
      <vt:variant>
        <vt:lpwstr>_Toc378239730</vt:lpwstr>
      </vt:variant>
      <vt:variant>
        <vt:i4>1638463</vt:i4>
      </vt:variant>
      <vt:variant>
        <vt:i4>119</vt:i4>
      </vt:variant>
      <vt:variant>
        <vt:i4>0</vt:i4>
      </vt:variant>
      <vt:variant>
        <vt:i4>5</vt:i4>
      </vt:variant>
      <vt:variant>
        <vt:lpwstr/>
      </vt:variant>
      <vt:variant>
        <vt:lpwstr>_Toc378239729</vt:lpwstr>
      </vt:variant>
      <vt:variant>
        <vt:i4>1638463</vt:i4>
      </vt:variant>
      <vt:variant>
        <vt:i4>113</vt:i4>
      </vt:variant>
      <vt:variant>
        <vt:i4>0</vt:i4>
      </vt:variant>
      <vt:variant>
        <vt:i4>5</vt:i4>
      </vt:variant>
      <vt:variant>
        <vt:lpwstr/>
      </vt:variant>
      <vt:variant>
        <vt:lpwstr>_Toc378239728</vt:lpwstr>
      </vt:variant>
      <vt:variant>
        <vt:i4>1638463</vt:i4>
      </vt:variant>
      <vt:variant>
        <vt:i4>107</vt:i4>
      </vt:variant>
      <vt:variant>
        <vt:i4>0</vt:i4>
      </vt:variant>
      <vt:variant>
        <vt:i4>5</vt:i4>
      </vt:variant>
      <vt:variant>
        <vt:lpwstr/>
      </vt:variant>
      <vt:variant>
        <vt:lpwstr>_Toc378239727</vt:lpwstr>
      </vt:variant>
      <vt:variant>
        <vt:i4>1638463</vt:i4>
      </vt:variant>
      <vt:variant>
        <vt:i4>101</vt:i4>
      </vt:variant>
      <vt:variant>
        <vt:i4>0</vt:i4>
      </vt:variant>
      <vt:variant>
        <vt:i4>5</vt:i4>
      </vt:variant>
      <vt:variant>
        <vt:lpwstr/>
      </vt:variant>
      <vt:variant>
        <vt:lpwstr>_Toc378239726</vt:lpwstr>
      </vt:variant>
      <vt:variant>
        <vt:i4>1638463</vt:i4>
      </vt:variant>
      <vt:variant>
        <vt:i4>95</vt:i4>
      </vt:variant>
      <vt:variant>
        <vt:i4>0</vt:i4>
      </vt:variant>
      <vt:variant>
        <vt:i4>5</vt:i4>
      </vt:variant>
      <vt:variant>
        <vt:lpwstr/>
      </vt:variant>
      <vt:variant>
        <vt:lpwstr>_Toc378239725</vt:lpwstr>
      </vt:variant>
      <vt:variant>
        <vt:i4>1638463</vt:i4>
      </vt:variant>
      <vt:variant>
        <vt:i4>89</vt:i4>
      </vt:variant>
      <vt:variant>
        <vt:i4>0</vt:i4>
      </vt:variant>
      <vt:variant>
        <vt:i4>5</vt:i4>
      </vt:variant>
      <vt:variant>
        <vt:lpwstr/>
      </vt:variant>
      <vt:variant>
        <vt:lpwstr>_Toc378239724</vt:lpwstr>
      </vt:variant>
      <vt:variant>
        <vt:i4>1638463</vt:i4>
      </vt:variant>
      <vt:variant>
        <vt:i4>83</vt:i4>
      </vt:variant>
      <vt:variant>
        <vt:i4>0</vt:i4>
      </vt:variant>
      <vt:variant>
        <vt:i4>5</vt:i4>
      </vt:variant>
      <vt:variant>
        <vt:lpwstr/>
      </vt:variant>
      <vt:variant>
        <vt:lpwstr>_Toc378239723</vt:lpwstr>
      </vt:variant>
      <vt:variant>
        <vt:i4>1638463</vt:i4>
      </vt:variant>
      <vt:variant>
        <vt:i4>77</vt:i4>
      </vt:variant>
      <vt:variant>
        <vt:i4>0</vt:i4>
      </vt:variant>
      <vt:variant>
        <vt:i4>5</vt:i4>
      </vt:variant>
      <vt:variant>
        <vt:lpwstr/>
      </vt:variant>
      <vt:variant>
        <vt:lpwstr>_Toc378239722</vt:lpwstr>
      </vt:variant>
      <vt:variant>
        <vt:i4>1638463</vt:i4>
      </vt:variant>
      <vt:variant>
        <vt:i4>71</vt:i4>
      </vt:variant>
      <vt:variant>
        <vt:i4>0</vt:i4>
      </vt:variant>
      <vt:variant>
        <vt:i4>5</vt:i4>
      </vt:variant>
      <vt:variant>
        <vt:lpwstr/>
      </vt:variant>
      <vt:variant>
        <vt:lpwstr>_Toc378239721</vt:lpwstr>
      </vt:variant>
      <vt:variant>
        <vt:i4>1638463</vt:i4>
      </vt:variant>
      <vt:variant>
        <vt:i4>65</vt:i4>
      </vt:variant>
      <vt:variant>
        <vt:i4>0</vt:i4>
      </vt:variant>
      <vt:variant>
        <vt:i4>5</vt:i4>
      </vt:variant>
      <vt:variant>
        <vt:lpwstr/>
      </vt:variant>
      <vt:variant>
        <vt:lpwstr>_Toc378239720</vt:lpwstr>
      </vt:variant>
      <vt:variant>
        <vt:i4>1703999</vt:i4>
      </vt:variant>
      <vt:variant>
        <vt:i4>59</vt:i4>
      </vt:variant>
      <vt:variant>
        <vt:i4>0</vt:i4>
      </vt:variant>
      <vt:variant>
        <vt:i4>5</vt:i4>
      </vt:variant>
      <vt:variant>
        <vt:lpwstr/>
      </vt:variant>
      <vt:variant>
        <vt:lpwstr>_Toc378239719</vt:lpwstr>
      </vt:variant>
      <vt:variant>
        <vt:i4>1703999</vt:i4>
      </vt:variant>
      <vt:variant>
        <vt:i4>53</vt:i4>
      </vt:variant>
      <vt:variant>
        <vt:i4>0</vt:i4>
      </vt:variant>
      <vt:variant>
        <vt:i4>5</vt:i4>
      </vt:variant>
      <vt:variant>
        <vt:lpwstr/>
      </vt:variant>
      <vt:variant>
        <vt:lpwstr>_Toc378239718</vt:lpwstr>
      </vt:variant>
      <vt:variant>
        <vt:i4>1703999</vt:i4>
      </vt:variant>
      <vt:variant>
        <vt:i4>47</vt:i4>
      </vt:variant>
      <vt:variant>
        <vt:i4>0</vt:i4>
      </vt:variant>
      <vt:variant>
        <vt:i4>5</vt:i4>
      </vt:variant>
      <vt:variant>
        <vt:lpwstr/>
      </vt:variant>
      <vt:variant>
        <vt:lpwstr>_Toc378239717</vt:lpwstr>
      </vt:variant>
      <vt:variant>
        <vt:i4>1703999</vt:i4>
      </vt:variant>
      <vt:variant>
        <vt:i4>41</vt:i4>
      </vt:variant>
      <vt:variant>
        <vt:i4>0</vt:i4>
      </vt:variant>
      <vt:variant>
        <vt:i4>5</vt:i4>
      </vt:variant>
      <vt:variant>
        <vt:lpwstr/>
      </vt:variant>
      <vt:variant>
        <vt:lpwstr>_Toc378239716</vt:lpwstr>
      </vt:variant>
      <vt:variant>
        <vt:i4>1703999</vt:i4>
      </vt:variant>
      <vt:variant>
        <vt:i4>35</vt:i4>
      </vt:variant>
      <vt:variant>
        <vt:i4>0</vt:i4>
      </vt:variant>
      <vt:variant>
        <vt:i4>5</vt:i4>
      </vt:variant>
      <vt:variant>
        <vt:lpwstr/>
      </vt:variant>
      <vt:variant>
        <vt:lpwstr>_Toc378239715</vt:lpwstr>
      </vt:variant>
      <vt:variant>
        <vt:i4>1703999</vt:i4>
      </vt:variant>
      <vt:variant>
        <vt:i4>29</vt:i4>
      </vt:variant>
      <vt:variant>
        <vt:i4>0</vt:i4>
      </vt:variant>
      <vt:variant>
        <vt:i4>5</vt:i4>
      </vt:variant>
      <vt:variant>
        <vt:lpwstr/>
      </vt:variant>
      <vt:variant>
        <vt:lpwstr>_Toc378239714</vt:lpwstr>
      </vt:variant>
      <vt:variant>
        <vt:i4>1703999</vt:i4>
      </vt:variant>
      <vt:variant>
        <vt:i4>23</vt:i4>
      </vt:variant>
      <vt:variant>
        <vt:i4>0</vt:i4>
      </vt:variant>
      <vt:variant>
        <vt:i4>5</vt:i4>
      </vt:variant>
      <vt:variant>
        <vt:lpwstr/>
      </vt:variant>
      <vt:variant>
        <vt:lpwstr>_Toc378239713</vt:lpwstr>
      </vt:variant>
      <vt:variant>
        <vt:i4>1703999</vt:i4>
      </vt:variant>
      <vt:variant>
        <vt:i4>17</vt:i4>
      </vt:variant>
      <vt:variant>
        <vt:i4>0</vt:i4>
      </vt:variant>
      <vt:variant>
        <vt:i4>5</vt:i4>
      </vt:variant>
      <vt:variant>
        <vt:lpwstr/>
      </vt:variant>
      <vt:variant>
        <vt:lpwstr>_Toc378239712</vt:lpwstr>
      </vt:variant>
      <vt:variant>
        <vt:i4>1703999</vt:i4>
      </vt:variant>
      <vt:variant>
        <vt:i4>11</vt:i4>
      </vt:variant>
      <vt:variant>
        <vt:i4>0</vt:i4>
      </vt:variant>
      <vt:variant>
        <vt:i4>5</vt:i4>
      </vt:variant>
      <vt:variant>
        <vt:lpwstr/>
      </vt:variant>
      <vt:variant>
        <vt:lpwstr>_Toc378239711</vt:lpwstr>
      </vt:variant>
      <vt:variant>
        <vt:i4>1703999</vt:i4>
      </vt:variant>
      <vt:variant>
        <vt:i4>5</vt:i4>
      </vt:variant>
      <vt:variant>
        <vt:i4>0</vt:i4>
      </vt:variant>
      <vt:variant>
        <vt:i4>5</vt:i4>
      </vt:variant>
      <vt:variant>
        <vt:lpwstr/>
      </vt:variant>
      <vt:variant>
        <vt:lpwstr>_Toc378239710</vt:lpwstr>
      </vt:variant>
      <vt:variant>
        <vt:i4>852029</vt:i4>
      </vt:variant>
      <vt:variant>
        <vt:i4>0</vt:i4>
      </vt:variant>
      <vt:variant>
        <vt:i4>0</vt:i4>
      </vt:variant>
      <vt:variant>
        <vt:i4>5</vt:i4>
      </vt:variant>
      <vt:variant>
        <vt:lpwstr>mailto:tony.greco@publicaccountants.org.au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marketing.coord</dc:creator>
  <cp:lastModifiedBy>Vicki Stylianou</cp:lastModifiedBy>
  <cp:revision>10</cp:revision>
  <cp:lastPrinted>2015-07-29T03:56:00Z</cp:lastPrinted>
  <dcterms:created xsi:type="dcterms:W3CDTF">2016-06-02T07:41:00Z</dcterms:created>
  <dcterms:modified xsi:type="dcterms:W3CDTF">2016-06-02T09:33:00Z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0x01010027F34FB163ABCE47A29E3253669CD8B1</vt:lpwstr>
  </property>
</Properties>
</file>